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
          <w:tab w:val="left" w:pos="540"/>
        </w:tabs>
        <w:autoSpaceDE w:val="0"/>
        <w:autoSpaceDN w:val="0"/>
        <w:adjustRightInd w:val="0"/>
        <w:spacing w:before="156" w:beforeLines="50" w:line="360" w:lineRule="auto"/>
        <w:jc w:val="center"/>
        <w:outlineLvl w:val="1"/>
        <w:rPr>
          <w:rFonts w:ascii="宋体" w:hAnsi="宋体" w:cs="宋体"/>
          <w:b/>
          <w:sz w:val="44"/>
          <w:szCs w:val="44"/>
          <w:lang w:val="zh-CN"/>
        </w:rPr>
      </w:pPr>
      <w:bookmarkStart w:id="0" w:name="_GoBack"/>
      <w:bookmarkEnd w:id="0"/>
      <w:r>
        <w:rPr>
          <w:rFonts w:hint="eastAsia" w:ascii="宋体" w:hAnsi="宋体" w:cs="宋体"/>
          <w:b/>
          <w:sz w:val="44"/>
          <w:szCs w:val="44"/>
          <w:lang w:val="zh-CN"/>
        </w:rPr>
        <w:t>番禺中心医院医疗集团密实袋采购项目</w:t>
      </w:r>
    </w:p>
    <w:p>
      <w:pPr>
        <w:tabs>
          <w:tab w:val="left" w:pos="170"/>
          <w:tab w:val="left" w:pos="540"/>
        </w:tabs>
        <w:autoSpaceDE w:val="0"/>
        <w:autoSpaceDN w:val="0"/>
        <w:adjustRightInd w:val="0"/>
        <w:spacing w:before="156" w:beforeLines="50" w:line="360" w:lineRule="auto"/>
        <w:jc w:val="center"/>
        <w:outlineLvl w:val="1"/>
        <w:rPr>
          <w:rFonts w:ascii="宋体" w:hAnsi="宋体" w:cs="宋体"/>
          <w:b/>
          <w:sz w:val="44"/>
          <w:szCs w:val="44"/>
          <w:lang w:val="zh-CN"/>
        </w:rPr>
      </w:pPr>
      <w:r>
        <w:rPr>
          <w:rFonts w:hint="eastAsia" w:ascii="宋体" w:hAnsi="宋体" w:cs="宋体"/>
          <w:b/>
          <w:sz w:val="44"/>
          <w:szCs w:val="44"/>
          <w:lang w:val="zh-CN"/>
        </w:rPr>
        <w:t>用户需求书</w:t>
      </w:r>
    </w:p>
    <w:p>
      <w:pPr>
        <w:pStyle w:val="11"/>
        <w:numPr>
          <w:ilvl w:val="0"/>
          <w:numId w:val="1"/>
        </w:numPr>
        <w:tabs>
          <w:tab w:val="left" w:pos="709"/>
        </w:tabs>
        <w:ind w:left="0" w:firstLine="0" w:firstLineChars="0"/>
        <w:rPr>
          <w:rFonts w:ascii="宋体" w:hAnsi="宋体" w:eastAsia="宋体"/>
          <w:sz w:val="28"/>
          <w:szCs w:val="28"/>
        </w:rPr>
      </w:pPr>
      <w:r>
        <w:rPr>
          <w:rFonts w:hint="eastAsia" w:ascii="宋体" w:hAnsi="宋体" w:eastAsia="宋体"/>
          <w:sz w:val="28"/>
          <w:szCs w:val="28"/>
        </w:rPr>
        <w:t>项目</w:t>
      </w:r>
      <w:r>
        <w:rPr>
          <w:rFonts w:ascii="宋体" w:hAnsi="宋体" w:eastAsia="宋体"/>
          <w:sz w:val="28"/>
          <w:szCs w:val="28"/>
        </w:rPr>
        <w:t>概况</w:t>
      </w:r>
    </w:p>
    <w:tbl>
      <w:tblPr>
        <w:tblStyle w:val="6"/>
        <w:tblpPr w:leftFromText="180" w:rightFromText="180" w:vertAnchor="text" w:horzAnchor="margin" w:tblpXSpec="center" w:tblpY="71"/>
        <w:tblW w:w="8299"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2177"/>
        <w:gridCol w:w="1276"/>
        <w:gridCol w:w="992"/>
        <w:gridCol w:w="1276"/>
        <w:gridCol w:w="1270"/>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08" w:type="dxa"/>
            <w:vAlign w:val="center"/>
          </w:tcPr>
          <w:p>
            <w:pPr>
              <w:widowControl/>
              <w:jc w:val="center"/>
              <w:rPr>
                <w:rFonts w:ascii="宋体" w:hAnsi="宋体" w:cs="宋体"/>
                <w:b/>
                <w:color w:val="000000"/>
                <w:szCs w:val="21"/>
              </w:rPr>
            </w:pPr>
            <w:r>
              <w:rPr>
                <w:rFonts w:hint="eastAsia" w:ascii="宋体" w:hAnsi="宋体" w:cs="宋体"/>
                <w:b/>
                <w:color w:val="000000"/>
                <w:szCs w:val="21"/>
              </w:rPr>
              <w:t>主管科室</w:t>
            </w:r>
          </w:p>
        </w:tc>
        <w:tc>
          <w:tcPr>
            <w:tcW w:w="2177" w:type="dxa"/>
            <w:vAlign w:val="center"/>
          </w:tcPr>
          <w:p>
            <w:pPr>
              <w:widowControl/>
              <w:jc w:val="center"/>
              <w:rPr>
                <w:rFonts w:ascii="宋体" w:hAnsi="宋体" w:cs="宋体"/>
                <w:b/>
                <w:color w:val="000000"/>
                <w:szCs w:val="21"/>
              </w:rPr>
            </w:pPr>
            <w:r>
              <w:rPr>
                <w:rFonts w:hint="eastAsia" w:ascii="宋体" w:hAnsi="宋体" w:cs="宋体"/>
                <w:b/>
                <w:color w:val="000000"/>
                <w:szCs w:val="21"/>
              </w:rPr>
              <w:t>服务名称</w:t>
            </w:r>
          </w:p>
        </w:tc>
        <w:tc>
          <w:tcPr>
            <w:tcW w:w="1276" w:type="dxa"/>
            <w:vAlign w:val="center"/>
          </w:tcPr>
          <w:p>
            <w:pPr>
              <w:widowControl/>
              <w:jc w:val="center"/>
              <w:rPr>
                <w:rFonts w:ascii="宋体" w:hAnsi="宋体" w:cs="宋体"/>
                <w:b/>
                <w:bCs/>
                <w:color w:val="000000"/>
                <w:szCs w:val="21"/>
              </w:rPr>
            </w:pPr>
            <w:r>
              <w:rPr>
                <w:rFonts w:hint="eastAsia" w:ascii="宋体" w:hAnsi="宋体" w:cs="宋体"/>
                <w:b/>
                <w:bCs/>
                <w:color w:val="000000"/>
                <w:szCs w:val="21"/>
              </w:rPr>
              <w:t>预算单价</w:t>
            </w:r>
            <w:r>
              <w:rPr>
                <w:rFonts w:hint="eastAsia" w:ascii="宋体" w:hAnsi="宋体" w:cs="宋体"/>
                <w:b/>
                <w:color w:val="000000"/>
                <w:szCs w:val="21"/>
              </w:rPr>
              <w:t>（万元）</w:t>
            </w:r>
          </w:p>
        </w:tc>
        <w:tc>
          <w:tcPr>
            <w:tcW w:w="992" w:type="dxa"/>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1276" w:type="dxa"/>
            <w:vAlign w:val="center"/>
          </w:tcPr>
          <w:p>
            <w:pPr>
              <w:widowControl/>
              <w:jc w:val="center"/>
              <w:rPr>
                <w:rFonts w:ascii="宋体" w:hAnsi="宋体" w:cs="宋体"/>
                <w:b/>
                <w:bCs/>
                <w:color w:val="000000"/>
                <w:szCs w:val="21"/>
              </w:rPr>
            </w:pPr>
            <w:r>
              <w:rPr>
                <w:rFonts w:hint="eastAsia" w:ascii="宋体" w:hAnsi="宋体" w:cs="宋体"/>
                <w:b/>
                <w:bCs/>
                <w:color w:val="000000"/>
                <w:szCs w:val="21"/>
              </w:rPr>
              <w:t>预算金额（万元）</w:t>
            </w:r>
          </w:p>
        </w:tc>
        <w:tc>
          <w:tcPr>
            <w:tcW w:w="1270" w:type="dxa"/>
            <w:vAlign w:val="center"/>
          </w:tcPr>
          <w:p>
            <w:pPr>
              <w:widowControl/>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308" w:type="dxa"/>
            <w:vAlign w:val="center"/>
          </w:tcPr>
          <w:p>
            <w:pPr>
              <w:widowControl/>
              <w:rPr>
                <w:rFonts w:ascii="宋体" w:hAnsi="宋体" w:cs="宋体"/>
                <w:bCs/>
                <w:color w:val="000000"/>
                <w:szCs w:val="21"/>
              </w:rPr>
            </w:pPr>
            <w:r>
              <w:rPr>
                <w:rFonts w:hint="eastAsia" w:ascii="宋体" w:hAnsi="宋体" w:cs="宋体"/>
                <w:bCs/>
                <w:color w:val="000000"/>
                <w:szCs w:val="21"/>
              </w:rPr>
              <w:t>后勤保障科</w:t>
            </w:r>
          </w:p>
        </w:tc>
        <w:tc>
          <w:tcPr>
            <w:tcW w:w="2177" w:type="dxa"/>
            <w:vAlign w:val="center"/>
          </w:tcPr>
          <w:p>
            <w:pPr>
              <w:widowControl/>
              <w:rPr>
                <w:rFonts w:ascii="宋体" w:hAnsi="宋体" w:cs="宋体"/>
                <w:color w:val="000000"/>
                <w:kern w:val="0"/>
                <w:szCs w:val="21"/>
                <w:lang w:bidi="ar"/>
              </w:rPr>
            </w:pPr>
            <w:r>
              <w:rPr>
                <w:rFonts w:hint="eastAsia" w:ascii="宋体" w:hAnsi="宋体" w:cs="宋体"/>
                <w:bCs/>
                <w:color w:val="000000"/>
                <w:szCs w:val="21"/>
              </w:rPr>
              <w:t>番禺中心医院医疗集团密实袋采购项目</w:t>
            </w:r>
          </w:p>
        </w:tc>
        <w:tc>
          <w:tcPr>
            <w:tcW w:w="12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992"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1项</w:t>
            </w:r>
          </w:p>
        </w:tc>
        <w:tc>
          <w:tcPr>
            <w:tcW w:w="127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1270" w:type="dxa"/>
            <w:tcBorders>
              <w:right w:val="single" w:color="auto" w:sz="4" w:space="0"/>
            </w:tcBorders>
            <w:vAlign w:val="center"/>
          </w:tcPr>
          <w:p>
            <w:pPr>
              <w:jc w:val="center"/>
              <w:rPr>
                <w:rFonts w:ascii="宋体" w:hAnsi="宋体" w:cs="宋体"/>
                <w:bCs/>
                <w:color w:val="000000"/>
                <w:szCs w:val="21"/>
              </w:rPr>
            </w:pPr>
            <w:r>
              <w:rPr>
                <w:rFonts w:ascii="宋体" w:hAnsi="宋体" w:cs="宋体"/>
                <w:bCs/>
                <w:color w:val="000000"/>
                <w:szCs w:val="21"/>
              </w:rPr>
              <w:t>其中东院区</w:t>
            </w:r>
            <w:r>
              <w:rPr>
                <w:rFonts w:hint="eastAsia" w:ascii="宋体" w:hAnsi="宋体" w:cs="宋体"/>
                <w:bCs/>
                <w:color w:val="000000"/>
                <w:szCs w:val="21"/>
              </w:rPr>
              <w:t>2</w:t>
            </w:r>
            <w:r>
              <w:rPr>
                <w:rFonts w:ascii="宋体" w:hAnsi="宋体" w:cs="宋体"/>
                <w:bCs/>
                <w:color w:val="000000"/>
                <w:szCs w:val="21"/>
              </w:rPr>
              <w:t>万元）</w:t>
            </w:r>
          </w:p>
        </w:tc>
      </w:tr>
    </w:tbl>
    <w:p>
      <w:pPr>
        <w:pStyle w:val="11"/>
        <w:numPr>
          <w:ilvl w:val="255"/>
          <w:numId w:val="0"/>
        </w:numPr>
        <w:tabs>
          <w:tab w:val="left" w:pos="709"/>
        </w:tabs>
        <w:spacing w:line="360" w:lineRule="auto"/>
        <w:ind w:firstLine="480"/>
        <w:rPr>
          <w:rFonts w:ascii="宋体" w:hAnsi="宋体" w:cs="宋体"/>
          <w:sz w:val="24"/>
          <w:szCs w:val="24"/>
        </w:rPr>
      </w:pPr>
      <w:r>
        <w:rPr>
          <w:rFonts w:hint="eastAsia" w:ascii="宋体" w:hAnsi="宋体" w:eastAsia="宋体"/>
          <w:sz w:val="24"/>
          <w:szCs w:val="24"/>
        </w:rPr>
        <w:t>报价范围的定义</w:t>
      </w:r>
    </w:p>
    <w:p>
      <w:pPr>
        <w:pStyle w:val="11"/>
        <w:spacing w:line="360" w:lineRule="auto"/>
        <w:ind w:firstLine="480"/>
        <w:rPr>
          <w:rFonts w:ascii="宋体" w:hAnsi="宋体" w:cs="宋体"/>
          <w:sz w:val="24"/>
          <w:szCs w:val="24"/>
        </w:rPr>
      </w:pPr>
      <w:r>
        <w:rPr>
          <w:rFonts w:hint="eastAsia" w:ascii="宋体" w:hAnsi="宋体" w:cs="宋体"/>
          <w:sz w:val="24"/>
          <w:szCs w:val="24"/>
        </w:rPr>
        <w:t>本项目报价包含货物制造、包装、送货、税费等。本次项目市场报价形式：在参考价基础上：上浮   %/下浮   %。</w:t>
      </w:r>
    </w:p>
    <w:p>
      <w:pPr>
        <w:pStyle w:val="11"/>
        <w:numPr>
          <w:ilvl w:val="0"/>
          <w:numId w:val="1"/>
        </w:numPr>
        <w:tabs>
          <w:tab w:val="left" w:pos="709"/>
        </w:tabs>
        <w:spacing w:line="360" w:lineRule="auto"/>
        <w:ind w:left="0" w:firstLine="0" w:firstLineChars="0"/>
        <w:rPr>
          <w:rFonts w:ascii="宋体" w:hAnsi="宋体" w:eastAsia="宋体"/>
          <w:sz w:val="24"/>
          <w:szCs w:val="24"/>
        </w:rPr>
      </w:pPr>
      <w:r>
        <w:rPr>
          <w:rFonts w:ascii="宋体" w:hAnsi="宋体" w:eastAsia="宋体"/>
          <w:sz w:val="24"/>
          <w:szCs w:val="24"/>
        </w:rPr>
        <w:t>资格要求</w:t>
      </w:r>
      <w:r>
        <w:rPr>
          <w:rFonts w:hint="eastAsia" w:ascii="宋体" w:hAnsi="宋体" w:eastAsia="宋体"/>
          <w:sz w:val="24"/>
          <w:szCs w:val="24"/>
        </w:rPr>
        <w:t>及政策</w:t>
      </w:r>
      <w:r>
        <w:rPr>
          <w:rFonts w:ascii="宋体" w:hAnsi="宋体" w:eastAsia="宋体"/>
          <w:sz w:val="24"/>
          <w:szCs w:val="24"/>
        </w:rPr>
        <w:t>要求</w:t>
      </w:r>
      <w:r>
        <w:rPr>
          <w:rFonts w:hint="eastAsia" w:ascii="宋体" w:hAnsi="宋体" w:eastAsia="宋体"/>
          <w:sz w:val="24"/>
          <w:szCs w:val="24"/>
        </w:rPr>
        <w:t>：无</w:t>
      </w:r>
    </w:p>
    <w:p>
      <w:pPr>
        <w:pStyle w:val="11"/>
        <w:numPr>
          <w:ilvl w:val="0"/>
          <w:numId w:val="1"/>
        </w:numPr>
        <w:tabs>
          <w:tab w:val="left" w:pos="709"/>
        </w:tabs>
        <w:spacing w:line="360" w:lineRule="auto"/>
        <w:ind w:left="0" w:firstLine="0" w:firstLineChars="0"/>
        <w:rPr>
          <w:rFonts w:ascii="宋体" w:hAnsi="宋体" w:eastAsia="宋体"/>
          <w:sz w:val="24"/>
          <w:szCs w:val="24"/>
        </w:rPr>
      </w:pPr>
      <w:r>
        <w:rPr>
          <w:rFonts w:hint="eastAsia" w:ascii="宋体" w:hAnsi="宋体" w:eastAsia="宋体"/>
          <w:sz w:val="24"/>
          <w:szCs w:val="24"/>
        </w:rPr>
        <w:t>是否</w:t>
      </w:r>
      <w:r>
        <w:rPr>
          <w:rFonts w:ascii="宋体" w:hAnsi="宋体" w:eastAsia="宋体"/>
          <w:sz w:val="24"/>
          <w:szCs w:val="24"/>
        </w:rPr>
        <w:t>面向中小企业</w:t>
      </w:r>
      <w:r>
        <w:rPr>
          <w:rFonts w:hint="eastAsia" w:ascii="宋体" w:hAnsi="宋体" w:eastAsia="宋体"/>
          <w:sz w:val="24"/>
          <w:szCs w:val="24"/>
        </w:rPr>
        <w:t>或</w:t>
      </w:r>
      <w:r>
        <w:rPr>
          <w:rFonts w:ascii="宋体" w:hAnsi="宋体" w:eastAsia="宋体"/>
          <w:sz w:val="24"/>
          <w:szCs w:val="24"/>
        </w:rPr>
        <w:t>小微企业</w:t>
      </w:r>
      <w:r>
        <w:rPr>
          <w:rFonts w:hint="eastAsia" w:ascii="宋体" w:hAnsi="宋体" w:eastAsia="宋体"/>
          <w:sz w:val="24"/>
          <w:szCs w:val="24"/>
        </w:rPr>
        <w:t>：面向中小企业</w:t>
      </w:r>
    </w:p>
    <w:p>
      <w:pPr>
        <w:pStyle w:val="11"/>
        <w:numPr>
          <w:ilvl w:val="0"/>
          <w:numId w:val="1"/>
        </w:numPr>
        <w:tabs>
          <w:tab w:val="left" w:pos="709"/>
        </w:tabs>
        <w:spacing w:line="360" w:lineRule="auto"/>
        <w:ind w:left="0" w:firstLine="0" w:firstLineChars="0"/>
        <w:rPr>
          <w:rFonts w:ascii="宋体" w:hAnsi="宋体" w:eastAsia="宋体"/>
          <w:sz w:val="24"/>
          <w:szCs w:val="24"/>
          <w:lang w:val="zh-CN"/>
        </w:rPr>
      </w:pPr>
      <w:r>
        <w:rPr>
          <w:rFonts w:hint="eastAsia" w:ascii="宋体" w:hAnsi="宋体" w:eastAsia="宋体"/>
          <w:sz w:val="24"/>
          <w:szCs w:val="24"/>
        </w:rPr>
        <w:t>是否</w:t>
      </w:r>
      <w:r>
        <w:rPr>
          <w:rFonts w:ascii="宋体" w:hAnsi="宋体" w:eastAsia="宋体"/>
          <w:sz w:val="24"/>
          <w:szCs w:val="24"/>
        </w:rPr>
        <w:t>接受</w:t>
      </w:r>
      <w:r>
        <w:rPr>
          <w:rFonts w:hint="eastAsia" w:ascii="宋体" w:hAnsi="宋体" w:eastAsia="宋体"/>
          <w:sz w:val="24"/>
          <w:szCs w:val="24"/>
        </w:rPr>
        <w:t>联合体</w:t>
      </w:r>
      <w:r>
        <w:rPr>
          <w:rFonts w:ascii="宋体" w:hAnsi="宋体" w:eastAsia="宋体"/>
          <w:sz w:val="24"/>
          <w:szCs w:val="24"/>
        </w:rPr>
        <w:t>投标</w:t>
      </w:r>
      <w:r>
        <w:rPr>
          <w:rFonts w:hint="eastAsia" w:ascii="宋体" w:hAnsi="宋体" w:eastAsia="宋体"/>
          <w:sz w:val="24"/>
          <w:szCs w:val="24"/>
        </w:rPr>
        <w:t>：否</w:t>
      </w:r>
    </w:p>
    <w:p>
      <w:pPr>
        <w:pStyle w:val="11"/>
        <w:tabs>
          <w:tab w:val="left" w:pos="170"/>
          <w:tab w:val="left" w:pos="540"/>
        </w:tabs>
        <w:autoSpaceDE w:val="0"/>
        <w:autoSpaceDN w:val="0"/>
        <w:adjustRightInd w:val="0"/>
        <w:spacing w:before="156" w:beforeLines="50" w:line="360" w:lineRule="auto"/>
        <w:ind w:firstLine="0" w:firstLineChars="0"/>
        <w:outlineLvl w:val="1"/>
        <w:rPr>
          <w:rFonts w:ascii="宋体" w:hAnsi="宋体"/>
          <w:b/>
          <w:bCs/>
          <w:szCs w:val="21"/>
        </w:rPr>
      </w:pPr>
      <w:r>
        <w:rPr>
          <w:rFonts w:hint="eastAsia" w:ascii="宋体" w:hAnsi="宋体" w:cs="宋体"/>
          <w:b/>
          <w:szCs w:val="21"/>
          <w:lang w:val="zh-CN"/>
        </w:rPr>
        <w:t>六、技术要求</w:t>
      </w:r>
    </w:p>
    <w:p>
      <w:pPr>
        <w:numPr>
          <w:ilvl w:val="0"/>
          <w:numId w:val="2"/>
        </w:numPr>
        <w:spacing w:line="360" w:lineRule="auto"/>
        <w:outlineLvl w:val="2"/>
        <w:rPr>
          <w:rFonts w:ascii="宋体" w:hAnsi="宋体" w:cs="宋体"/>
          <w:kern w:val="0"/>
          <w:szCs w:val="21"/>
        </w:rPr>
      </w:pPr>
      <w:r>
        <w:rPr>
          <w:rFonts w:hint="eastAsia" w:ascii="宋体" w:hAnsi="宋体"/>
          <w:b/>
        </w:rPr>
        <w:t>采购项目需求一览表</w:t>
      </w:r>
    </w:p>
    <w:tbl>
      <w:tblPr>
        <w:tblStyle w:val="6"/>
        <w:tblW w:w="8673" w:type="dxa"/>
        <w:tblInd w:w="93" w:type="dxa"/>
        <w:tblLayout w:type="fixed"/>
        <w:tblCellMar>
          <w:top w:w="0" w:type="dxa"/>
          <w:left w:w="108" w:type="dxa"/>
          <w:bottom w:w="0" w:type="dxa"/>
          <w:right w:w="108" w:type="dxa"/>
        </w:tblCellMar>
      </w:tblPr>
      <w:tblGrid>
        <w:gridCol w:w="640"/>
        <w:gridCol w:w="2620"/>
        <w:gridCol w:w="1560"/>
        <w:gridCol w:w="1200"/>
        <w:gridCol w:w="1373"/>
        <w:gridCol w:w="1280"/>
      </w:tblGrid>
      <w:tr>
        <w:tblPrEx>
          <w:tblCellMar>
            <w:top w:w="0" w:type="dxa"/>
            <w:left w:w="108" w:type="dxa"/>
            <w:bottom w:w="0" w:type="dxa"/>
            <w:right w:w="108" w:type="dxa"/>
          </w:tblCellMar>
        </w:tblPrEx>
        <w:trPr>
          <w:trHeight w:val="285" w:hRule="atLeast"/>
        </w:trPr>
        <w:tc>
          <w:tcPr>
            <w:tcW w:w="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b/>
                <w:bCs/>
                <w:color w:val="000000"/>
                <w:kern w:val="0"/>
                <w:szCs w:val="21"/>
              </w:rPr>
            </w:pPr>
            <w:r>
              <w:rPr>
                <w:b/>
                <w:bCs/>
                <w:color w:val="000000"/>
                <w:kern w:val="0"/>
                <w:szCs w:val="21"/>
              </w:rPr>
              <w:t>序号</w:t>
            </w:r>
          </w:p>
        </w:tc>
        <w:tc>
          <w:tcPr>
            <w:tcW w:w="262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b/>
                <w:bCs/>
                <w:color w:val="000000"/>
                <w:kern w:val="0"/>
                <w:szCs w:val="21"/>
              </w:rPr>
            </w:pPr>
            <w:r>
              <w:rPr>
                <w:b/>
                <w:bCs/>
                <w:color w:val="000000"/>
                <w:kern w:val="0"/>
                <w:szCs w:val="21"/>
              </w:rPr>
              <w:t>分项名称</w:t>
            </w:r>
          </w:p>
        </w:tc>
        <w:tc>
          <w:tcPr>
            <w:tcW w:w="156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w:t>
            </w:r>
            <w:r>
              <w:rPr>
                <w:b/>
                <w:bCs/>
                <w:color w:val="000000"/>
                <w:kern w:val="0"/>
                <w:szCs w:val="21"/>
              </w:rPr>
              <w:t>规格（CM）</w:t>
            </w:r>
          </w:p>
        </w:tc>
        <w:tc>
          <w:tcPr>
            <w:tcW w:w="120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b/>
                <w:bCs/>
                <w:color w:val="000000"/>
                <w:kern w:val="0"/>
                <w:szCs w:val="21"/>
              </w:rPr>
            </w:pPr>
            <w:r>
              <w:rPr>
                <w:b/>
                <w:bCs/>
                <w:color w:val="000000"/>
                <w:kern w:val="0"/>
                <w:szCs w:val="21"/>
              </w:rPr>
              <w:t>容量（L）</w:t>
            </w:r>
          </w:p>
        </w:tc>
        <w:tc>
          <w:tcPr>
            <w:tcW w:w="137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b/>
                <w:bCs/>
                <w:color w:val="000000"/>
                <w:kern w:val="0"/>
                <w:szCs w:val="21"/>
              </w:rPr>
            </w:pPr>
            <w:r>
              <w:rPr>
                <w:b/>
                <w:bCs/>
                <w:color w:val="000000"/>
                <w:kern w:val="0"/>
                <w:szCs w:val="21"/>
              </w:rPr>
              <w:t>参考价（元）</w:t>
            </w:r>
          </w:p>
        </w:tc>
        <w:tc>
          <w:tcPr>
            <w:tcW w:w="12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b/>
                <w:bCs/>
                <w:color w:val="000000"/>
                <w:kern w:val="0"/>
                <w:szCs w:val="21"/>
              </w:rPr>
            </w:pPr>
            <w:r>
              <w:rPr>
                <w:b/>
                <w:bCs/>
                <w:color w:val="000000"/>
                <w:kern w:val="0"/>
                <w:szCs w:val="21"/>
              </w:rPr>
              <w:t>参考数量（个）</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1</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加厚病理密实袋（印字）</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25*30</w:t>
            </w:r>
            <w:r>
              <w:rPr>
                <w:rStyle w:val="17"/>
                <w:rFonts w:hint="default" w:ascii="Times New Roman" w:hAnsi="Times New Roman" w:cs="Times New Roman"/>
                <w:lang w:bidi="ar"/>
              </w:rPr>
              <w:t>，</w:t>
            </w:r>
            <w:r>
              <w:rPr>
                <w:rStyle w:val="14"/>
                <w:rFonts w:hint="default" w:ascii="Times New Roman" w:hAnsi="Times New Roman" w:cs="Times New Roman"/>
                <w:lang w:bidi="ar"/>
              </w:rPr>
              <w:br w:type="textWrapping"/>
            </w:r>
            <w:r>
              <w:rPr>
                <w:rStyle w:val="17"/>
                <w:rFonts w:hint="default" w:ascii="Times New Roman" w:hAnsi="Times New Roman" w:cs="Times New Roman"/>
                <w:lang w:bidi="ar"/>
              </w:rPr>
              <w:t>厚度</w:t>
            </w:r>
            <w:r>
              <w:rPr>
                <w:rStyle w:val="14"/>
                <w:rFonts w:hint="default" w:ascii="Times New Roman" w:hAnsi="Times New Roman" w:cs="Times New Roman"/>
                <w:lang w:bidi="ar"/>
              </w:rPr>
              <w:t>≥0.21mm</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个</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0.53</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5090</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2</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加厚病理密实袋（印字）</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8*12/100</w:t>
            </w:r>
            <w:r>
              <w:rPr>
                <w:rStyle w:val="17"/>
                <w:rFonts w:hint="default" w:ascii="Times New Roman" w:hAnsi="Times New Roman" w:cs="Times New Roman"/>
                <w:lang w:bidi="ar"/>
              </w:rPr>
              <w:t>个</w:t>
            </w:r>
            <w:r>
              <w:rPr>
                <w:rStyle w:val="14"/>
                <w:rFonts w:hint="default" w:ascii="Times New Roman" w:hAnsi="Times New Roman" w:cs="Times New Roman"/>
                <w:lang w:bidi="ar"/>
              </w:rPr>
              <w:t>/</w:t>
            </w:r>
            <w:r>
              <w:rPr>
                <w:rStyle w:val="17"/>
                <w:rFonts w:hint="default" w:ascii="Times New Roman" w:hAnsi="Times New Roman" w:cs="Times New Roman"/>
                <w:lang w:bidi="ar"/>
              </w:rPr>
              <w:t>包</w:t>
            </w:r>
            <w:r>
              <w:rPr>
                <w:rStyle w:val="14"/>
                <w:rFonts w:hint="default" w:ascii="Times New Roman" w:hAnsi="Times New Roman" w:cs="Times New Roman"/>
                <w:lang w:bidi="ar"/>
              </w:rPr>
              <w:t>,</w:t>
            </w:r>
            <w:r>
              <w:rPr>
                <w:rStyle w:val="14"/>
                <w:rFonts w:hint="default" w:ascii="Times New Roman" w:hAnsi="Times New Roman" w:cs="Times New Roman"/>
                <w:lang w:bidi="ar"/>
              </w:rPr>
              <w:br w:type="textWrapping"/>
            </w:r>
            <w:r>
              <w:rPr>
                <w:rStyle w:val="17"/>
                <w:rFonts w:hint="default" w:ascii="Times New Roman" w:hAnsi="Times New Roman" w:cs="Times New Roman"/>
                <w:lang w:bidi="ar"/>
              </w:rPr>
              <w:t>厚度</w:t>
            </w:r>
            <w:r>
              <w:rPr>
                <w:rStyle w:val="14"/>
                <w:rFonts w:hint="default" w:ascii="Times New Roman" w:hAnsi="Times New Roman" w:cs="Times New Roman"/>
                <w:lang w:bidi="ar"/>
              </w:rPr>
              <w:t>≥0.15mm</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包</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7.35</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300</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●3</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加厚西药密实袋（印字）</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7*11/100</w:t>
            </w:r>
            <w:r>
              <w:rPr>
                <w:rStyle w:val="17"/>
                <w:rFonts w:hint="default" w:ascii="Times New Roman" w:hAnsi="Times New Roman" w:cs="Times New Roman"/>
                <w:lang w:bidi="ar"/>
              </w:rPr>
              <w:t>个</w:t>
            </w:r>
            <w:r>
              <w:rPr>
                <w:rStyle w:val="14"/>
                <w:rFonts w:hint="default" w:ascii="Times New Roman" w:hAnsi="Times New Roman" w:cs="Times New Roman"/>
                <w:lang w:bidi="ar"/>
              </w:rPr>
              <w:t>/</w:t>
            </w:r>
            <w:r>
              <w:rPr>
                <w:rStyle w:val="17"/>
                <w:rFonts w:hint="default" w:ascii="Times New Roman" w:hAnsi="Times New Roman" w:cs="Times New Roman"/>
                <w:lang w:bidi="ar"/>
              </w:rPr>
              <w:t>包</w:t>
            </w:r>
            <w:r>
              <w:rPr>
                <w:rStyle w:val="14"/>
                <w:rFonts w:hint="default" w:ascii="Times New Roman" w:hAnsi="Times New Roman" w:cs="Times New Roman"/>
                <w:lang w:bidi="ar"/>
              </w:rPr>
              <w:t>,</w:t>
            </w:r>
            <w:r>
              <w:rPr>
                <w:rStyle w:val="14"/>
                <w:rFonts w:hint="default" w:ascii="Times New Roman" w:hAnsi="Times New Roman" w:cs="Times New Roman"/>
                <w:lang w:bidi="ar"/>
              </w:rPr>
              <w:br w:type="textWrapping"/>
            </w:r>
            <w:r>
              <w:rPr>
                <w:rStyle w:val="17"/>
                <w:rFonts w:hint="default" w:ascii="Times New Roman" w:hAnsi="Times New Roman" w:cs="Times New Roman"/>
                <w:lang w:bidi="ar"/>
              </w:rPr>
              <w:t>厚度</w:t>
            </w:r>
            <w:r>
              <w:rPr>
                <w:rStyle w:val="14"/>
                <w:rFonts w:hint="default" w:ascii="Times New Roman" w:hAnsi="Times New Roman" w:cs="Times New Roman"/>
                <w:lang w:bidi="ar"/>
              </w:rPr>
              <w:t>≥0.15mm</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包</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6.3</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8050</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4</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密实袋（全透明）</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17*10</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个</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0.09</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450000</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●5</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密实袋（全透明）</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19*14</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个</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0.12</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400000</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6</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密实袋（全透明）</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30*20</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个</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0.38</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81000</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7</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加厚密实袋（全透明）</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24*36(30C),</w:t>
            </w:r>
            <w:r>
              <w:rPr>
                <w:color w:val="000000"/>
                <w:kern w:val="0"/>
                <w:szCs w:val="21"/>
                <w:lang w:bidi="ar"/>
              </w:rPr>
              <w:br w:type="textWrapping"/>
            </w:r>
            <w:r>
              <w:rPr>
                <w:rStyle w:val="17"/>
                <w:rFonts w:hint="default" w:ascii="Times New Roman" w:hAnsi="Times New Roman" w:cs="Times New Roman"/>
                <w:lang w:bidi="ar"/>
              </w:rPr>
              <w:t>厚度</w:t>
            </w:r>
            <w:r>
              <w:rPr>
                <w:rStyle w:val="14"/>
                <w:rFonts w:hint="default" w:ascii="Times New Roman" w:hAnsi="Times New Roman" w:cs="Times New Roman"/>
                <w:lang w:bidi="ar"/>
              </w:rPr>
              <w:t>≥0.36mm</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个</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0.91</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400</w:t>
            </w:r>
          </w:p>
        </w:tc>
      </w:tr>
      <w:tr>
        <w:tblPrEx>
          <w:tblCellMar>
            <w:top w:w="0" w:type="dxa"/>
            <w:left w:w="108" w:type="dxa"/>
            <w:bottom w:w="0" w:type="dxa"/>
            <w:right w:w="108" w:type="dxa"/>
          </w:tblCellMar>
        </w:tblPrEx>
        <w:trPr>
          <w:trHeight w:val="315" w:hRule="atLeast"/>
        </w:trPr>
        <w:tc>
          <w:tcPr>
            <w:tcW w:w="64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color w:val="000000"/>
                <w:kern w:val="0"/>
                <w:szCs w:val="21"/>
              </w:rPr>
            </w:pPr>
            <w:r>
              <w:rPr>
                <w:color w:val="000000"/>
                <w:kern w:val="0"/>
                <w:szCs w:val="21"/>
              </w:rPr>
              <w:t>8</w:t>
            </w:r>
          </w:p>
        </w:tc>
        <w:tc>
          <w:tcPr>
            <w:tcW w:w="262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密实袋（全透明）</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color w:val="000000"/>
                <w:kern w:val="0"/>
                <w:szCs w:val="21"/>
              </w:rPr>
            </w:pPr>
            <w:r>
              <w:rPr>
                <w:color w:val="000000"/>
                <w:kern w:val="0"/>
                <w:szCs w:val="21"/>
                <w:lang w:bidi="ar"/>
              </w:rPr>
              <w:t>8*12/100</w:t>
            </w:r>
            <w:r>
              <w:rPr>
                <w:rStyle w:val="17"/>
                <w:rFonts w:hint="default" w:ascii="Times New Roman" w:hAnsi="Times New Roman" w:cs="Times New Roman"/>
                <w:lang w:bidi="ar"/>
              </w:rPr>
              <w:t>个</w:t>
            </w:r>
            <w:r>
              <w:rPr>
                <w:rStyle w:val="14"/>
                <w:rFonts w:hint="default" w:ascii="Times New Roman" w:hAnsi="Times New Roman" w:cs="Times New Roman"/>
                <w:lang w:bidi="ar"/>
              </w:rPr>
              <w:t>/</w:t>
            </w:r>
            <w:r>
              <w:rPr>
                <w:rStyle w:val="17"/>
                <w:rFonts w:hint="default" w:ascii="Times New Roman" w:hAnsi="Times New Roman" w:cs="Times New Roman"/>
                <w:lang w:bidi="ar"/>
              </w:rPr>
              <w:t>包</w:t>
            </w:r>
          </w:p>
        </w:tc>
        <w:tc>
          <w:tcPr>
            <w:tcW w:w="1200" w:type="dxa"/>
            <w:tcBorders>
              <w:top w:val="nil"/>
              <w:left w:val="nil"/>
              <w:bottom w:val="single" w:color="000000" w:sz="8" w:space="0"/>
              <w:right w:val="single" w:color="000000" w:sz="8" w:space="0"/>
            </w:tcBorders>
            <w:shd w:val="clear" w:color="auto" w:fill="auto"/>
            <w:noWrap/>
          </w:tcPr>
          <w:p>
            <w:pPr>
              <w:widowControl/>
              <w:jc w:val="center"/>
              <w:rPr>
                <w:color w:val="000000"/>
                <w:kern w:val="0"/>
                <w:szCs w:val="21"/>
              </w:rPr>
            </w:pPr>
            <w:r>
              <w:rPr>
                <w:color w:val="000000"/>
                <w:kern w:val="0"/>
                <w:szCs w:val="21"/>
              </w:rPr>
              <w:t>包</w:t>
            </w:r>
          </w:p>
        </w:tc>
        <w:tc>
          <w:tcPr>
            <w:tcW w:w="1373" w:type="dxa"/>
            <w:tcBorders>
              <w:top w:val="nil"/>
              <w:left w:val="nil"/>
              <w:bottom w:val="single" w:color="000000" w:sz="8" w:space="0"/>
              <w:right w:val="single" w:color="000000" w:sz="8" w:space="0"/>
            </w:tcBorders>
            <w:shd w:val="clear" w:color="auto" w:fill="auto"/>
            <w:noWrap/>
            <w:vAlign w:val="center"/>
          </w:tcPr>
          <w:p>
            <w:pPr>
              <w:widowControl/>
              <w:jc w:val="center"/>
              <w:rPr>
                <w:color w:val="000000"/>
                <w:kern w:val="0"/>
                <w:sz w:val="22"/>
                <w:szCs w:val="22"/>
              </w:rPr>
            </w:pPr>
            <w:r>
              <w:rPr>
                <w:color w:val="000000"/>
                <w:kern w:val="0"/>
                <w:sz w:val="22"/>
                <w:szCs w:val="22"/>
              </w:rPr>
              <w:t>4.2</w:t>
            </w:r>
          </w:p>
        </w:tc>
        <w:tc>
          <w:tcPr>
            <w:tcW w:w="128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color w:val="FF0000"/>
                <w:kern w:val="0"/>
                <w:szCs w:val="21"/>
              </w:rPr>
            </w:pPr>
            <w:r>
              <w:rPr>
                <w:color w:val="000000"/>
                <w:kern w:val="0"/>
                <w:sz w:val="22"/>
                <w:szCs w:val="22"/>
                <w:lang w:bidi="ar"/>
              </w:rPr>
              <w:t>5890</w:t>
            </w:r>
          </w:p>
        </w:tc>
      </w:tr>
    </w:tbl>
    <w:p>
      <w:pPr>
        <w:spacing w:line="360" w:lineRule="auto"/>
        <w:rPr>
          <w:rFonts w:ascii="宋体" w:hAnsi="宋体" w:cs="宋体"/>
          <w:kern w:val="0"/>
          <w:szCs w:val="21"/>
        </w:rPr>
      </w:pPr>
    </w:p>
    <w:p>
      <w:pPr>
        <w:spacing w:line="360" w:lineRule="auto"/>
        <w:rPr>
          <w:rFonts w:ascii="宋体" w:hAnsi="宋体" w:cs="宋体"/>
          <w:kern w:val="0"/>
          <w:szCs w:val="21"/>
        </w:rPr>
      </w:pPr>
      <w:r>
        <w:rPr>
          <w:rFonts w:hint="eastAsia" w:ascii="宋体" w:hAnsi="宋体" w:cs="宋体"/>
          <w:kern w:val="0"/>
          <w:szCs w:val="21"/>
        </w:rPr>
        <w:t>注：以上货物的厚度、包装规格仅供参考，供应商可提供同等或更高档次产品。</w:t>
      </w:r>
    </w:p>
    <w:p>
      <w:pPr>
        <w:spacing w:line="360" w:lineRule="auto"/>
        <w:rPr>
          <w:rFonts w:ascii="宋体" w:hAnsi="宋体"/>
        </w:rPr>
      </w:pPr>
    </w:p>
    <w:p>
      <w:pPr>
        <w:numPr>
          <w:ilvl w:val="0"/>
          <w:numId w:val="2"/>
        </w:numPr>
        <w:spacing w:line="360" w:lineRule="auto"/>
        <w:outlineLvl w:val="2"/>
        <w:rPr>
          <w:rFonts w:ascii="宋体" w:hAnsi="宋体"/>
          <w:b/>
        </w:rPr>
      </w:pPr>
      <w:r>
        <w:rPr>
          <w:rFonts w:hint="eastAsia" w:ascii="宋体" w:hAnsi="宋体"/>
          <w:b/>
        </w:rPr>
        <w:t>货物质量及供货要求</w:t>
      </w:r>
    </w:p>
    <w:p>
      <w:pPr>
        <w:spacing w:line="360" w:lineRule="auto"/>
        <w:ind w:firstLine="424" w:firstLineChars="202"/>
        <w:rPr>
          <w:rFonts w:ascii="宋体" w:hAnsi="宋体"/>
        </w:rPr>
      </w:pPr>
      <w:r>
        <w:rPr>
          <w:rFonts w:hint="eastAsia" w:ascii="宋体" w:hAnsi="宋体"/>
        </w:rPr>
        <w:t>1、</w:t>
      </w:r>
      <w:r>
        <w:rPr>
          <w:rFonts w:hint="eastAsia" w:ascii="宋体" w:hAnsi="宋体"/>
        </w:rPr>
        <w:tab/>
      </w:r>
      <w:r>
        <w:rPr>
          <w:rFonts w:hint="eastAsia" w:ascii="宋体" w:hAnsi="宋体"/>
        </w:rPr>
        <w:t>产品采用医用环保塑料制造，无毒、环保、防潮等功能，必须符合《一次性使用卫生用品卫生标准》及广东省药学会《药房分装用纸塑药袋推荐标准》(粤药会字〔2007〕35 号)有关规定。并经相关卫生机构检验合格。</w:t>
      </w:r>
    </w:p>
    <w:p>
      <w:pPr>
        <w:spacing w:line="360" w:lineRule="auto"/>
        <w:ind w:firstLine="424" w:firstLineChars="202"/>
        <w:rPr>
          <w:rFonts w:ascii="宋体" w:hAnsi="宋体"/>
        </w:rPr>
      </w:pPr>
      <w:r>
        <w:rPr>
          <w:rFonts w:hint="eastAsia" w:ascii="宋体" w:hAnsi="宋体"/>
        </w:rPr>
        <w:t>2、药袋防潮，周边密封好，卫生，不得有破损、穿孔、异物、异味等情况。</w:t>
      </w:r>
    </w:p>
    <w:p>
      <w:pPr>
        <w:spacing w:line="360" w:lineRule="auto"/>
        <w:ind w:firstLine="424" w:firstLineChars="202"/>
        <w:rPr>
          <w:rFonts w:ascii="宋体" w:hAnsi="宋体"/>
        </w:rPr>
      </w:pPr>
      <w:r>
        <w:rPr>
          <w:rFonts w:hint="eastAsia" w:ascii="宋体" w:hAnsi="宋体"/>
        </w:rPr>
        <w:t>3、若采购人在验收货物时发现供应商供应的货物存在假冒伪劣或次品情况，出现假冒伪劣或次品，供应商除立刻更换货物外，并接受“假一罚三”的处罚。</w:t>
      </w:r>
    </w:p>
    <w:p>
      <w:pPr>
        <w:spacing w:line="360" w:lineRule="auto"/>
        <w:ind w:firstLine="424" w:firstLineChars="202"/>
        <w:rPr>
          <w:rFonts w:ascii="宋体" w:hAnsi="宋体"/>
        </w:rPr>
      </w:pPr>
      <w:r>
        <w:rPr>
          <w:rFonts w:hint="eastAsia" w:ascii="宋体" w:hAnsi="宋体"/>
        </w:rPr>
        <w:t>4、若连续三个月验收货物时发现有假冒伪劣或次品情况，不论数量多少，采购人有权终止合同。</w:t>
      </w:r>
    </w:p>
    <w:p>
      <w:pPr>
        <w:numPr>
          <w:ilvl w:val="0"/>
          <w:numId w:val="2"/>
        </w:numPr>
        <w:spacing w:line="360" w:lineRule="auto"/>
        <w:outlineLvl w:val="2"/>
        <w:rPr>
          <w:rFonts w:ascii="宋体" w:hAnsi="宋体"/>
          <w:b/>
          <w:highlight w:val="yellow"/>
        </w:rPr>
      </w:pPr>
      <w:r>
        <w:rPr>
          <w:rFonts w:hint="eastAsia" w:ascii="宋体" w:hAnsi="宋体"/>
          <w:b/>
          <w:highlight w:val="yellow"/>
        </w:rPr>
        <w:t>样品</w:t>
      </w:r>
    </w:p>
    <w:p>
      <w:pPr>
        <w:spacing w:line="360" w:lineRule="auto"/>
      </w:pPr>
      <w:r>
        <w:rPr>
          <w:rFonts w:hint="eastAsia" w:ascii="宋体" w:hAnsi="宋体"/>
        </w:rPr>
        <w:t>1、</w:t>
      </w:r>
      <w:r>
        <w:rPr>
          <w:rFonts w:hint="eastAsia" w:ascii="宋体" w:hAnsi="宋体"/>
        </w:rPr>
        <w:tab/>
      </w:r>
      <w:r>
        <w:rPr>
          <w:rFonts w:hint="eastAsia" w:ascii="宋体" w:hAnsi="宋体"/>
        </w:rPr>
        <w:t>供应商应提供采购货物清单中带“●”的品种为样品，分别为序号</w:t>
      </w:r>
      <w:r>
        <w:rPr>
          <w:rFonts w:hint="eastAsia" w:ascii="宋体" w:hAnsi="宋体" w:cs="宋体"/>
          <w:kern w:val="0"/>
          <w:sz w:val="22"/>
          <w:szCs w:val="22"/>
        </w:rPr>
        <w:t>3</w:t>
      </w:r>
      <w:r>
        <w:rPr>
          <w:rFonts w:hint="eastAsia"/>
        </w:rPr>
        <w:t>加厚西药密实袋（印字）（7*11）</w:t>
      </w:r>
      <w:r>
        <w:rPr>
          <w:rFonts w:hint="eastAsia" w:ascii="宋体" w:hAnsi="宋体"/>
        </w:rPr>
        <w:t>1个、序号5</w:t>
      </w:r>
      <w:r>
        <w:rPr>
          <w:rFonts w:hint="eastAsia"/>
        </w:rPr>
        <w:t>密实袋（</w:t>
      </w:r>
      <w:r>
        <w:t>19*14</w:t>
      </w:r>
      <w:r>
        <w:rPr>
          <w:rFonts w:hint="eastAsia"/>
        </w:rPr>
        <w:t>）</w:t>
      </w:r>
      <w:r>
        <w:rPr>
          <w:rFonts w:hint="eastAsia" w:ascii="宋体" w:hAnsi="宋体"/>
        </w:rPr>
        <w:t>1个。不提交或少提交样品不视为无效响应。样品与响应文件同时递交。样品上须标注响应供应商名称、货物名称等，由法定代表人或其合法授权人签名并加盖公章。</w:t>
      </w:r>
    </w:p>
    <w:p>
      <w:pPr>
        <w:numPr>
          <w:ilvl w:val="255"/>
          <w:numId w:val="0"/>
        </w:numPr>
        <w:tabs>
          <w:tab w:val="left" w:pos="540"/>
        </w:tabs>
        <w:autoSpaceDE w:val="0"/>
        <w:autoSpaceDN w:val="0"/>
        <w:adjustRightInd w:val="0"/>
        <w:spacing w:before="156" w:beforeLines="50" w:line="360" w:lineRule="auto"/>
        <w:outlineLvl w:val="1"/>
        <w:rPr>
          <w:rFonts w:ascii="宋体" w:hAnsi="宋体" w:cs="宋体"/>
          <w:b/>
          <w:szCs w:val="21"/>
          <w:lang w:val="zh-CN"/>
        </w:rPr>
      </w:pPr>
      <w:r>
        <w:rPr>
          <w:rFonts w:hint="eastAsia" w:ascii="宋体" w:hAnsi="宋体" w:cs="宋体"/>
          <w:b/>
          <w:szCs w:val="21"/>
        </w:rPr>
        <w:t>七、</w:t>
      </w:r>
      <w:r>
        <w:rPr>
          <w:rFonts w:hint="eastAsia" w:ascii="宋体" w:hAnsi="宋体" w:cs="宋体"/>
          <w:b/>
          <w:szCs w:val="21"/>
          <w:lang w:val="zh-CN"/>
        </w:rPr>
        <w:t>商务要求</w:t>
      </w:r>
    </w:p>
    <w:p>
      <w:pPr>
        <w:numPr>
          <w:ilvl w:val="0"/>
          <w:numId w:val="3"/>
        </w:numPr>
        <w:spacing w:line="360" w:lineRule="auto"/>
        <w:outlineLvl w:val="2"/>
        <w:rPr>
          <w:rFonts w:ascii="宋体" w:hAnsi="宋体"/>
          <w:b/>
        </w:rPr>
      </w:pPr>
      <w:r>
        <w:rPr>
          <w:rFonts w:hint="eastAsia" w:ascii="宋体" w:hAnsi="宋体"/>
          <w:b/>
        </w:rPr>
        <w:t>供货要求</w:t>
      </w:r>
    </w:p>
    <w:p>
      <w:pPr>
        <w:numPr>
          <w:ilvl w:val="0"/>
          <w:numId w:val="4"/>
        </w:numPr>
        <w:spacing w:line="360" w:lineRule="auto"/>
        <w:rPr>
          <w:rFonts w:ascii="宋体" w:hAnsi="宋体"/>
        </w:rPr>
      </w:pPr>
      <w:r>
        <w:rPr>
          <w:rFonts w:hint="eastAsia" w:ascii="宋体" w:hAnsi="宋体"/>
        </w:rPr>
        <w:t>交货地点：送达甲方指定地点（包括番禺区中心医院院本部及番禺区第七人民医院各临床科室）</w:t>
      </w:r>
    </w:p>
    <w:p>
      <w:pPr>
        <w:numPr>
          <w:ilvl w:val="0"/>
          <w:numId w:val="4"/>
        </w:numPr>
        <w:spacing w:line="360" w:lineRule="auto"/>
        <w:rPr>
          <w:rFonts w:ascii="宋体" w:hAnsi="宋体"/>
        </w:rPr>
      </w:pPr>
      <w:r>
        <w:rPr>
          <w:rFonts w:hint="eastAsia" w:ascii="宋体" w:hAnsi="宋体"/>
        </w:rPr>
        <w:t>服务期：合同签订之日起两年。</w:t>
      </w:r>
      <w:r>
        <w:rPr>
          <w:rFonts w:hint="eastAsia" w:ascii="宋体" w:hAnsi="宋体"/>
          <w:bCs/>
          <w:szCs w:val="21"/>
        </w:rPr>
        <w:t>预算服务期内的费用在20万元以内。若在服务期限内，采购金额达到预算金额，合同期结束；若服务期限到期，采购金额未达到预算金额，也视作合同结束。</w:t>
      </w:r>
    </w:p>
    <w:p>
      <w:pPr>
        <w:numPr>
          <w:ilvl w:val="0"/>
          <w:numId w:val="3"/>
        </w:numPr>
        <w:spacing w:line="360" w:lineRule="auto"/>
        <w:outlineLvl w:val="2"/>
        <w:rPr>
          <w:rFonts w:ascii="宋体" w:hAnsi="宋体"/>
          <w:b/>
        </w:rPr>
      </w:pPr>
      <w:r>
        <w:rPr>
          <w:rFonts w:hint="eastAsia" w:ascii="宋体" w:hAnsi="宋体"/>
          <w:b/>
          <w:color w:val="000000"/>
        </w:rPr>
        <w:t>包装、运输、保险</w:t>
      </w:r>
    </w:p>
    <w:p>
      <w:pPr>
        <w:numPr>
          <w:ilvl w:val="0"/>
          <w:numId w:val="5"/>
        </w:numPr>
        <w:spacing w:line="360" w:lineRule="auto"/>
        <w:rPr>
          <w:rFonts w:ascii="宋体" w:hAnsi="宋体"/>
        </w:rPr>
      </w:pPr>
      <w:r>
        <w:rPr>
          <w:rFonts w:hint="eastAsia" w:ascii="宋体" w:hAnsi="宋体"/>
        </w:rPr>
        <w:t>响应供应商提供的全部产品均应按标准保护措施进行包装，以防止产品在运转中损坏，确保产品安全无损运抵指定地点，对包装另有规定除外。</w:t>
      </w:r>
    </w:p>
    <w:p>
      <w:pPr>
        <w:numPr>
          <w:ilvl w:val="0"/>
          <w:numId w:val="5"/>
        </w:numPr>
        <w:spacing w:line="360" w:lineRule="auto"/>
        <w:rPr>
          <w:rFonts w:ascii="宋体" w:hAnsi="宋体"/>
        </w:rPr>
      </w:pPr>
      <w:r>
        <w:rPr>
          <w:rFonts w:hint="eastAsia" w:ascii="宋体" w:hAnsi="宋体"/>
        </w:rPr>
        <w:t>所有提供的产品剩余保存期不得少于原有保质期的三分之二。</w:t>
      </w:r>
    </w:p>
    <w:p>
      <w:pPr>
        <w:numPr>
          <w:ilvl w:val="0"/>
          <w:numId w:val="5"/>
        </w:numPr>
        <w:spacing w:line="360" w:lineRule="auto"/>
        <w:rPr>
          <w:rFonts w:ascii="宋体" w:hAnsi="宋体"/>
        </w:rPr>
      </w:pPr>
      <w:r>
        <w:rPr>
          <w:rFonts w:hint="eastAsia" w:ascii="宋体" w:hAnsi="宋体"/>
        </w:rPr>
        <w:t>包装应足以承受整个过程中的运输、转运、贮存等，并考虑广州地区的气候特点。</w:t>
      </w:r>
    </w:p>
    <w:p>
      <w:pPr>
        <w:numPr>
          <w:ilvl w:val="0"/>
          <w:numId w:val="5"/>
        </w:numPr>
        <w:spacing w:line="360" w:lineRule="auto"/>
        <w:rPr>
          <w:rFonts w:ascii="宋体" w:hAnsi="宋体"/>
        </w:rPr>
      </w:pPr>
      <w:r>
        <w:rPr>
          <w:rFonts w:hint="eastAsia" w:ascii="宋体" w:hAnsi="宋体"/>
        </w:rPr>
        <w:t>货物在验收合格前的保险由成交供应商负责，成交供应商负责其派出的现场服务人员人身意外保险。</w:t>
      </w:r>
    </w:p>
    <w:p>
      <w:pPr>
        <w:pStyle w:val="11"/>
        <w:numPr>
          <w:ilvl w:val="0"/>
          <w:numId w:val="5"/>
        </w:numPr>
        <w:autoSpaceDE w:val="0"/>
        <w:autoSpaceDN w:val="0"/>
        <w:spacing w:line="360" w:lineRule="auto"/>
        <w:ind w:firstLineChars="0"/>
        <w:rPr>
          <w:rFonts w:ascii="宋体" w:hAnsi="宋体"/>
          <w:szCs w:val="21"/>
        </w:rPr>
      </w:pPr>
      <w:r>
        <w:rPr>
          <w:rFonts w:hint="eastAsia" w:ascii="宋体" w:hAnsi="宋体"/>
          <w:szCs w:val="21"/>
        </w:rPr>
        <w:t>乙方须委派专门的运送人员负责运送工作，配合医院实施疫情防控工作。</w:t>
      </w:r>
    </w:p>
    <w:p>
      <w:pPr>
        <w:pStyle w:val="11"/>
        <w:numPr>
          <w:ilvl w:val="0"/>
          <w:numId w:val="5"/>
        </w:numPr>
        <w:autoSpaceDE w:val="0"/>
        <w:autoSpaceDN w:val="0"/>
        <w:ind w:firstLine="420"/>
        <w:rPr>
          <w:rFonts w:ascii="宋体" w:hAnsi="宋体"/>
        </w:rPr>
      </w:pPr>
      <w:r>
        <w:rPr>
          <w:rFonts w:hint="eastAsia" w:ascii="宋体" w:hAnsi="宋体"/>
          <w:szCs w:val="21"/>
        </w:rPr>
        <w:t>乙方在送货时，由甲方指定人员负责检查验收。</w:t>
      </w:r>
    </w:p>
    <w:p>
      <w:pPr>
        <w:numPr>
          <w:ilvl w:val="0"/>
          <w:numId w:val="3"/>
        </w:numPr>
        <w:spacing w:line="360" w:lineRule="auto"/>
        <w:outlineLvl w:val="2"/>
        <w:rPr>
          <w:rFonts w:ascii="宋体" w:hAnsi="宋体"/>
          <w:szCs w:val="21"/>
        </w:rPr>
      </w:pPr>
      <w:r>
        <w:rPr>
          <w:rFonts w:hint="eastAsia" w:ascii="宋体" w:hAnsi="宋体"/>
          <w:b/>
        </w:rPr>
        <w:t>验收</w:t>
      </w:r>
    </w:p>
    <w:p>
      <w:pPr>
        <w:numPr>
          <w:ilvl w:val="0"/>
          <w:numId w:val="6"/>
        </w:numPr>
        <w:spacing w:line="360" w:lineRule="auto"/>
        <w:rPr>
          <w:rFonts w:ascii="宋体" w:hAnsi="宋体"/>
          <w:szCs w:val="21"/>
        </w:rPr>
      </w:pPr>
      <w:r>
        <w:rPr>
          <w:rFonts w:hint="eastAsia" w:ascii="宋体" w:hAnsi="宋体"/>
          <w:szCs w:val="21"/>
        </w:rPr>
        <w:t>成交供应商提供的货物应完全按照用户需求书的产品规格要求及标准执行。</w:t>
      </w:r>
    </w:p>
    <w:p>
      <w:pPr>
        <w:numPr>
          <w:ilvl w:val="0"/>
          <w:numId w:val="6"/>
        </w:numPr>
        <w:spacing w:line="360" w:lineRule="auto"/>
        <w:rPr>
          <w:rFonts w:ascii="宋体" w:hAnsi="宋体"/>
          <w:szCs w:val="21"/>
        </w:rPr>
      </w:pPr>
      <w:r>
        <w:rPr>
          <w:rFonts w:hint="eastAsia" w:ascii="宋体" w:hAnsi="宋体"/>
          <w:szCs w:val="21"/>
        </w:rPr>
        <w:t>货物送达采购人指定的地点后，由双方工作人员按送货单进行初步的检货验收和签名确认。初检仅代表采购人收到成交供应商送达货物的数量，并不代表采购人已经认可成交供应商货物的质量。</w:t>
      </w:r>
    </w:p>
    <w:p>
      <w:pPr>
        <w:numPr>
          <w:ilvl w:val="0"/>
          <w:numId w:val="6"/>
        </w:numPr>
        <w:spacing w:line="360" w:lineRule="auto"/>
        <w:rPr>
          <w:rFonts w:ascii="宋体" w:hAnsi="宋体"/>
        </w:rPr>
      </w:pPr>
      <w:r>
        <w:rPr>
          <w:rFonts w:hint="eastAsia" w:ascii="宋体" w:hAnsi="宋体"/>
          <w:szCs w:val="21"/>
        </w:rPr>
        <w:t>本项目在验收中如发现货物不符合合同的约定，采购人有权拒绝接受货物，产品验收不合格的或事后发现以假乱真、以次充好的，采购人有权无条件退货，成交供应商应在5天内提供符合合同约定的产品，否则，视为成交供应商逾期交货，并按照合同条款进行处罚。</w:t>
      </w:r>
    </w:p>
    <w:p>
      <w:pPr>
        <w:numPr>
          <w:ilvl w:val="0"/>
          <w:numId w:val="3"/>
        </w:numPr>
        <w:spacing w:line="360" w:lineRule="auto"/>
        <w:outlineLvl w:val="2"/>
        <w:rPr>
          <w:rFonts w:ascii="宋体" w:hAnsi="宋体"/>
          <w:b/>
        </w:rPr>
      </w:pPr>
      <w:r>
        <w:rPr>
          <w:rFonts w:hint="eastAsia" w:ascii="宋体" w:hAnsi="宋体"/>
          <w:b/>
        </w:rPr>
        <w:t>质量保证及售后服务</w:t>
      </w:r>
    </w:p>
    <w:p>
      <w:pPr>
        <w:numPr>
          <w:ilvl w:val="0"/>
          <w:numId w:val="7"/>
        </w:numPr>
        <w:spacing w:line="360" w:lineRule="auto"/>
        <w:rPr>
          <w:rFonts w:ascii="宋体" w:hAnsi="宋体"/>
        </w:rPr>
      </w:pPr>
      <w:r>
        <w:rPr>
          <w:rFonts w:hint="eastAsia" w:ascii="宋体" w:hAnsi="宋体"/>
        </w:rPr>
        <w:t>产品的保质期：1年以上，特殊产品按产品要求执行。</w:t>
      </w:r>
    </w:p>
    <w:p>
      <w:pPr>
        <w:numPr>
          <w:ilvl w:val="0"/>
          <w:numId w:val="7"/>
        </w:numPr>
        <w:spacing w:line="360" w:lineRule="auto"/>
        <w:rPr>
          <w:rFonts w:ascii="宋体" w:hAnsi="宋体"/>
        </w:rPr>
      </w:pPr>
      <w:r>
        <w:rPr>
          <w:rFonts w:hint="eastAsia" w:ascii="宋体" w:hAnsi="宋体"/>
        </w:rPr>
        <w:t>必须提供目前市场上技术较先进，成熟的原装、全新产品，并符合国家有关标准。</w:t>
      </w:r>
    </w:p>
    <w:p>
      <w:pPr>
        <w:numPr>
          <w:ilvl w:val="0"/>
          <w:numId w:val="7"/>
        </w:numPr>
        <w:spacing w:line="360" w:lineRule="auto"/>
        <w:rPr>
          <w:rFonts w:ascii="宋体" w:hAnsi="宋体"/>
        </w:rPr>
      </w:pPr>
      <w:r>
        <w:rPr>
          <w:rFonts w:hint="eastAsia" w:ascii="宋体" w:hAnsi="宋体"/>
        </w:rPr>
        <w:t>必须对项目中涉及的产品提供质量保证书。</w:t>
      </w:r>
    </w:p>
    <w:p>
      <w:pPr>
        <w:numPr>
          <w:ilvl w:val="0"/>
          <w:numId w:val="7"/>
        </w:numPr>
        <w:spacing w:line="360" w:lineRule="auto"/>
        <w:rPr>
          <w:rFonts w:ascii="宋体" w:hAnsi="宋体"/>
        </w:rPr>
      </w:pPr>
      <w:r>
        <w:rPr>
          <w:rFonts w:hint="eastAsia" w:ascii="宋体" w:hAnsi="宋体"/>
        </w:rPr>
        <w:t>必须保证所有货物为正货，需提供产品合格证、质量检验证书。响应供应商可通过电话或书面方式解答产品使用方面的疑问，必要时派驻技术人员专门服务。白天4小时到达现场，夜间12小时内到达现场，若不能解决问题，须24小时内提供相同规格的产品作为替代品。</w:t>
      </w:r>
    </w:p>
    <w:p>
      <w:pPr>
        <w:numPr>
          <w:ilvl w:val="0"/>
          <w:numId w:val="7"/>
        </w:numPr>
        <w:spacing w:line="360" w:lineRule="auto"/>
        <w:ind w:right="-227" w:rightChars="-108"/>
        <w:rPr>
          <w:rFonts w:ascii="宋体" w:hAnsi="宋体"/>
          <w:szCs w:val="21"/>
        </w:rPr>
      </w:pPr>
      <w:r>
        <w:rPr>
          <w:rFonts w:hint="eastAsia" w:ascii="宋体" w:hAnsi="宋体"/>
        </w:rPr>
        <w:t>产品如有质量问题（如破损、变质、过期等非预期情况），须无条件（在24小时内）给予退换。</w:t>
      </w:r>
    </w:p>
    <w:p>
      <w:pPr>
        <w:numPr>
          <w:ilvl w:val="0"/>
          <w:numId w:val="3"/>
        </w:numPr>
        <w:spacing w:line="360" w:lineRule="auto"/>
        <w:outlineLvl w:val="2"/>
        <w:rPr>
          <w:rFonts w:ascii="宋体" w:hAnsi="宋体"/>
        </w:rPr>
      </w:pPr>
      <w:r>
        <w:rPr>
          <w:rFonts w:hint="eastAsia" w:ascii="宋体" w:hAnsi="宋体"/>
          <w:b/>
        </w:rPr>
        <w:t>付款方式</w:t>
      </w:r>
    </w:p>
    <w:p>
      <w:pPr>
        <w:numPr>
          <w:ilvl w:val="0"/>
          <w:numId w:val="8"/>
        </w:numPr>
        <w:spacing w:line="360" w:lineRule="auto"/>
        <w:ind w:right="-227" w:rightChars="-108"/>
        <w:rPr>
          <w:rFonts w:ascii="宋体" w:hAnsi="宋体"/>
        </w:rPr>
      </w:pPr>
      <w:r>
        <w:rPr>
          <w:rFonts w:hint="eastAsia" w:ascii="宋体" w:hAnsi="宋体"/>
        </w:rPr>
        <w:t>本项目所需货物根据采购人的需求分期分批供应，以每笔订单的实际采购数量为准。</w:t>
      </w:r>
    </w:p>
    <w:p>
      <w:pPr>
        <w:tabs>
          <w:tab w:val="left" w:pos="720"/>
        </w:tabs>
        <w:spacing w:line="360" w:lineRule="auto"/>
        <w:ind w:left="848" w:leftChars="337" w:hanging="140" w:hangingChars="67"/>
        <w:rPr>
          <w:rFonts w:ascii="宋体" w:hAnsi="宋体"/>
        </w:rPr>
      </w:pPr>
      <w:r>
        <w:rPr>
          <w:rFonts w:hint="eastAsia" w:ascii="宋体" w:hAnsi="宋体"/>
        </w:rPr>
        <w:t>对应品种货物成交单价=对应品种货物单价限价×成交综合折扣率；</w:t>
      </w:r>
    </w:p>
    <w:p>
      <w:pPr>
        <w:tabs>
          <w:tab w:val="left" w:pos="720"/>
        </w:tabs>
        <w:spacing w:line="360" w:lineRule="auto"/>
        <w:ind w:left="848" w:leftChars="337" w:hanging="140" w:hangingChars="67"/>
        <w:rPr>
          <w:rFonts w:ascii="宋体" w:hAnsi="宋体"/>
        </w:rPr>
      </w:pPr>
      <w:r>
        <w:rPr>
          <w:rFonts w:hint="eastAsia" w:ascii="宋体" w:hAnsi="宋体"/>
        </w:rPr>
        <w:t>结算金额=∑（对应品种货物成交单价×每月的实际采购数量）。</w:t>
      </w:r>
    </w:p>
    <w:p>
      <w:pPr>
        <w:numPr>
          <w:ilvl w:val="0"/>
          <w:numId w:val="8"/>
        </w:numPr>
        <w:spacing w:line="360" w:lineRule="auto"/>
        <w:ind w:right="-227" w:rightChars="-108"/>
      </w:pPr>
      <w:r>
        <w:rPr>
          <w:rFonts w:hint="eastAsia" w:ascii="宋体" w:hAnsi="宋体"/>
        </w:rPr>
        <w:t>成交供应商每月按实际供货给采购人指定科室已签收的送货单、发票给采购人，采购人收到成交供应商提交的签收凭证、发票，核对无误后，5个工作日内办理货款支付手续。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D6CFF"/>
    <w:multiLevelType w:val="multilevel"/>
    <w:tmpl w:val="01BD6CFF"/>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060A98"/>
    <w:multiLevelType w:val="multilevel"/>
    <w:tmpl w:val="0B060A98"/>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9C87A1F"/>
    <w:multiLevelType w:val="multilevel"/>
    <w:tmpl w:val="39C87A1F"/>
    <w:lvl w:ilvl="0" w:tentative="0">
      <w:start w:val="1"/>
      <w:numFmt w:val="chineseCountingThousand"/>
      <w:lvlText w:val="(%1)"/>
      <w:lvlJc w:val="left"/>
      <w:pPr>
        <w:tabs>
          <w:tab w:val="left" w:pos="0"/>
        </w:tabs>
        <w:ind w:left="437" w:hanging="437"/>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216958"/>
    <w:multiLevelType w:val="multilevel"/>
    <w:tmpl w:val="3D216958"/>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1474696"/>
    <w:multiLevelType w:val="multilevel"/>
    <w:tmpl w:val="51474696"/>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02067A"/>
    <w:multiLevelType w:val="multilevel"/>
    <w:tmpl w:val="6002067A"/>
    <w:lvl w:ilvl="0" w:tentative="0">
      <w:start w:val="1"/>
      <w:numFmt w:val="chineseCountingThousand"/>
      <w:lvlText w:val="(%1)"/>
      <w:lvlJc w:val="left"/>
      <w:pPr>
        <w:tabs>
          <w:tab w:val="left" w:pos="0"/>
        </w:tabs>
        <w:ind w:left="437" w:hanging="437"/>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F21860"/>
    <w:multiLevelType w:val="multilevel"/>
    <w:tmpl w:val="62F21860"/>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6"/>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10.2.240.65:8888/seeyon/officeservlet"/>
  </w:docVars>
  <w:rsids>
    <w:rsidRoot w:val="005221B0"/>
    <w:rsid w:val="00041EDF"/>
    <w:rsid w:val="003078F0"/>
    <w:rsid w:val="00373E3C"/>
    <w:rsid w:val="00425C08"/>
    <w:rsid w:val="004C76B6"/>
    <w:rsid w:val="005221B0"/>
    <w:rsid w:val="00534B11"/>
    <w:rsid w:val="005E07EB"/>
    <w:rsid w:val="006E49E0"/>
    <w:rsid w:val="00766389"/>
    <w:rsid w:val="0078577C"/>
    <w:rsid w:val="007A4FD3"/>
    <w:rsid w:val="007F5F48"/>
    <w:rsid w:val="008E6352"/>
    <w:rsid w:val="009406DF"/>
    <w:rsid w:val="00A11BB9"/>
    <w:rsid w:val="00AA730D"/>
    <w:rsid w:val="00B227C5"/>
    <w:rsid w:val="00B229C1"/>
    <w:rsid w:val="00B54511"/>
    <w:rsid w:val="00B622C6"/>
    <w:rsid w:val="00DC7F4C"/>
    <w:rsid w:val="00F12771"/>
    <w:rsid w:val="00F14545"/>
    <w:rsid w:val="00F870BE"/>
    <w:rsid w:val="088C2237"/>
    <w:rsid w:val="0A185369"/>
    <w:rsid w:val="14C649B7"/>
    <w:rsid w:val="14FE6C6E"/>
    <w:rsid w:val="1B2478E0"/>
    <w:rsid w:val="1FAD76F2"/>
    <w:rsid w:val="1FFB1F1B"/>
    <w:rsid w:val="2B633173"/>
    <w:rsid w:val="314248C9"/>
    <w:rsid w:val="3458545D"/>
    <w:rsid w:val="388D20E7"/>
    <w:rsid w:val="38FB00A6"/>
    <w:rsid w:val="39EF6A32"/>
    <w:rsid w:val="476F115F"/>
    <w:rsid w:val="4C103DF8"/>
    <w:rsid w:val="50967A11"/>
    <w:rsid w:val="5505011D"/>
    <w:rsid w:val="593A042B"/>
    <w:rsid w:val="59A92DF1"/>
    <w:rsid w:val="60DC07FE"/>
    <w:rsid w:val="633A7672"/>
    <w:rsid w:val="76C003A1"/>
    <w:rsid w:val="773123ED"/>
    <w:rsid w:val="7A7169E3"/>
    <w:rsid w:val="7B1E7075"/>
    <w:rsid w:val="7E9E3F95"/>
    <w:rsid w:val="7F6BC4A4"/>
    <w:rsid w:val="BEBFB32E"/>
    <w:rsid w:val="FEFF05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link w:val="12"/>
    <w:qFormat/>
    <w:uiPriority w:val="34"/>
    <w:pPr>
      <w:ind w:firstLine="420" w:firstLineChars="200"/>
    </w:pPr>
    <w:rPr>
      <w:rFonts w:asciiTheme="minorHAnsi" w:hAnsiTheme="minorHAnsi" w:eastAsiaTheme="minorEastAsia" w:cstheme="minorBidi"/>
      <w:szCs w:val="22"/>
    </w:rPr>
  </w:style>
  <w:style w:type="character" w:customStyle="1" w:styleId="12">
    <w:name w:val="列表段落 字符"/>
    <w:link w:val="11"/>
    <w:qFormat/>
    <w:locked/>
    <w:uiPriority w:val="34"/>
  </w:style>
  <w:style w:type="character" w:customStyle="1" w:styleId="13">
    <w:name w:val="批注框文本 字符"/>
    <w:basedOn w:val="7"/>
    <w:link w:val="3"/>
    <w:semiHidden/>
    <w:qFormat/>
    <w:uiPriority w:val="99"/>
    <w:rPr>
      <w:kern w:val="2"/>
      <w:sz w:val="18"/>
      <w:szCs w:val="18"/>
    </w:rPr>
  </w:style>
  <w:style w:type="character" w:customStyle="1" w:styleId="14">
    <w:name w:val="font21"/>
    <w:basedOn w:val="7"/>
    <w:qFormat/>
    <w:uiPriority w:val="0"/>
    <w:rPr>
      <w:rFonts w:hint="eastAsia" w:ascii="宋体" w:hAnsi="宋体" w:eastAsia="宋体" w:cs="宋体"/>
      <w:b/>
      <w:bCs/>
      <w:color w:val="000000"/>
      <w:sz w:val="21"/>
      <w:szCs w:val="21"/>
      <w:u w:val="none"/>
    </w:rPr>
  </w:style>
  <w:style w:type="character" w:customStyle="1" w:styleId="15">
    <w:name w:val="font41"/>
    <w:basedOn w:val="7"/>
    <w:qFormat/>
    <w:uiPriority w:val="0"/>
    <w:rPr>
      <w:rFonts w:hint="eastAsia" w:ascii="宋体" w:hAnsi="宋体" w:eastAsia="宋体" w:cs="宋体"/>
      <w:color w:val="000000"/>
      <w:sz w:val="21"/>
      <w:szCs w:val="21"/>
      <w:u w:val="none"/>
    </w:rPr>
  </w:style>
  <w:style w:type="character" w:customStyle="1" w:styleId="16">
    <w:name w:val="font51"/>
    <w:basedOn w:val="7"/>
    <w:uiPriority w:val="0"/>
    <w:rPr>
      <w:rFonts w:hint="default" w:ascii="Times New Roman" w:hAnsi="Times New Roman" w:cs="Times New Roman"/>
      <w:color w:val="000000"/>
      <w:sz w:val="21"/>
      <w:szCs w:val="21"/>
      <w:u w:val="none"/>
    </w:rPr>
  </w:style>
  <w:style w:type="character" w:customStyle="1" w:styleId="17">
    <w:name w:val="font3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312</Words>
  <Characters>1783</Characters>
  <Lines>14</Lines>
  <Paragraphs>4</Paragraphs>
  <TotalTime>0</TotalTime>
  <ScaleCrop>false</ScaleCrop>
  <LinksUpToDate>false</LinksUpToDate>
  <CharactersWithSpaces>2091</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2023-08-21T10:02:00Z</dcterms:created>
  <dc:creator>古倩茹</dc:creator>
  <cp:lastModifiedBy>李映晖</cp:lastModifiedBy>
  <dcterms:modified xsi:type="dcterms:W3CDTF">2023-08-23T10:40:58Z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97F209B5770A4567AEE0B919474CECBA_13</vt:lpwstr>
  </property>
</Properties>
</file>