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7852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hAnsi="宋体"/>
          <w:b/>
          <w:bCs/>
          <w:kern w:val="44"/>
          <w:sz w:val="28"/>
          <w:szCs w:val="28"/>
          <w:highlight w:val="none"/>
          <w:lang w:val="en-US" w:eastAsia="zh-CN"/>
        </w:rPr>
      </w:pPr>
      <w:bookmarkStart w:id="0" w:name="_Toc116987910"/>
      <w:bookmarkStart w:id="1" w:name="_Toc116988034"/>
    </w:p>
    <w:p w14:paraId="00776A2B">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899D823">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245FE16D">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37922FDF">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C446A8E">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3C0D8D2">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4E1E6E82">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27C29B89">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6F3CEDD2">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54049BFC">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52D3BD6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hAnsi="宋体"/>
          <w:b/>
          <w:bCs/>
          <w:kern w:val="44"/>
          <w:sz w:val="56"/>
          <w:szCs w:val="56"/>
          <w:highlight w:val="none"/>
          <w:lang w:val="en-US" w:eastAsia="zh-CN"/>
        </w:rPr>
      </w:pPr>
      <w:r>
        <w:rPr>
          <w:rFonts w:hint="eastAsia" w:hAnsi="宋体"/>
          <w:b/>
          <w:bCs/>
          <w:kern w:val="44"/>
          <w:sz w:val="56"/>
          <w:szCs w:val="56"/>
          <w:highlight w:val="none"/>
          <w:lang w:val="en-US" w:eastAsia="zh-CN"/>
        </w:rPr>
        <w:t>第一章  需求征集反馈格式</w:t>
      </w:r>
    </w:p>
    <w:p w14:paraId="44A2A454">
      <w:pPr>
        <w:rPr>
          <w:rFonts w:hint="eastAsia" w:hAnsi="宋体"/>
          <w:b/>
          <w:bCs/>
          <w:kern w:val="44"/>
          <w:sz w:val="28"/>
          <w:szCs w:val="28"/>
          <w:highlight w:val="none"/>
          <w:lang w:val="en-US" w:eastAsia="zh-CN"/>
        </w:rPr>
      </w:pPr>
      <w:r>
        <w:rPr>
          <w:rFonts w:hint="eastAsia" w:hAnsi="宋体"/>
          <w:b/>
          <w:bCs/>
          <w:kern w:val="44"/>
          <w:sz w:val="28"/>
          <w:szCs w:val="28"/>
          <w:highlight w:val="none"/>
          <w:lang w:val="en-US" w:eastAsia="zh-CN"/>
        </w:rPr>
        <w:br w:type="page"/>
      </w:r>
    </w:p>
    <w:p w14:paraId="5327F609">
      <w:pPr>
        <w:jc w:val="center"/>
        <w:outlineLvl w:val="1"/>
        <w:rPr>
          <w:rFonts w:ascii="Times New Roman" w:hAnsi="Times New Roman" w:eastAsia="宋体" w:cs="宋体"/>
          <w:b/>
          <w:sz w:val="28"/>
          <w:szCs w:val="30"/>
        </w:rPr>
      </w:pPr>
      <w:r>
        <w:rPr>
          <w:rFonts w:hint="eastAsia" w:ascii="Times New Roman" w:hAnsi="Times New Roman" w:eastAsia="宋体" w:cs="宋体"/>
          <w:b/>
          <w:sz w:val="28"/>
          <w:szCs w:val="30"/>
        </w:rPr>
        <w:t>需求</w:t>
      </w:r>
      <w:r>
        <w:rPr>
          <w:rFonts w:hint="eastAsia" w:ascii="Times New Roman" w:cs="宋体"/>
          <w:b/>
          <w:sz w:val="28"/>
          <w:szCs w:val="30"/>
          <w:lang w:val="en-US" w:eastAsia="zh-CN"/>
        </w:rPr>
        <w:t>征集</w:t>
      </w:r>
      <w:r>
        <w:rPr>
          <w:rFonts w:hint="eastAsia" w:ascii="Times New Roman" w:hAnsi="Times New Roman" w:eastAsia="宋体" w:cs="宋体"/>
          <w:b/>
          <w:sz w:val="28"/>
          <w:szCs w:val="30"/>
        </w:rPr>
        <w:t>反馈表</w:t>
      </w:r>
      <w:bookmarkEnd w:id="0"/>
      <w:bookmarkEnd w:id="1"/>
    </w:p>
    <w:p w14:paraId="7A8F27A5">
      <w:pPr>
        <w:spacing w:line="360" w:lineRule="auto"/>
        <w:jc w:val="left"/>
        <w:outlineLvl w:val="1"/>
        <w:rPr>
          <w:rFonts w:ascii="Times New Roman" w:hAnsi="Times New Roman" w:eastAsia="宋体" w:cs="宋体"/>
          <w:b/>
          <w:bCs/>
          <w:szCs w:val="21"/>
        </w:rPr>
      </w:pPr>
      <w:bookmarkStart w:id="2" w:name="_Toc116987911"/>
      <w:bookmarkStart w:id="3" w:name="_Toc116988035"/>
      <w:r>
        <w:rPr>
          <w:rFonts w:hint="eastAsia" w:ascii="Times New Roman" w:hAnsi="Times New Roman" w:eastAsia="宋体" w:cs="宋体"/>
          <w:b/>
          <w:bCs/>
          <w:szCs w:val="21"/>
        </w:rPr>
        <w:t>一、供应商基本情况</w:t>
      </w:r>
      <w:bookmarkEnd w:id="2"/>
      <w:bookmarkEnd w:id="3"/>
    </w:p>
    <w:tbl>
      <w:tblPr>
        <w:tblStyle w:val="15"/>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7416"/>
      </w:tblGrid>
      <w:tr w14:paraId="06F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3" w:type="pct"/>
            <w:vAlign w:val="center"/>
          </w:tcPr>
          <w:p w14:paraId="0CAF3BF3">
            <w:pPr>
              <w:spacing w:line="360" w:lineRule="auto"/>
              <w:jc w:val="center"/>
              <w:rPr>
                <w:rFonts w:eastAsia="宋体" w:cs="仿宋_GB2312" w:asciiTheme="minorEastAsia" w:hAnsiTheme="minorEastAsia"/>
                <w:b/>
                <w:bCs/>
                <w:kern w:val="0"/>
                <w:szCs w:val="21"/>
              </w:rPr>
            </w:pPr>
            <w:bookmarkStart w:id="4" w:name="_Toc116987912"/>
            <w:bookmarkStart w:id="5" w:name="_Toc116988036"/>
            <w:r>
              <w:rPr>
                <w:rFonts w:eastAsia="宋体" w:cs="仿宋_GB2312" w:asciiTheme="minorEastAsia" w:hAnsiTheme="minorEastAsia"/>
                <w:b/>
                <w:bCs/>
                <w:kern w:val="0"/>
                <w:szCs w:val="21"/>
              </w:rPr>
              <w:t>供应商名称</w:t>
            </w:r>
          </w:p>
        </w:tc>
        <w:tc>
          <w:tcPr>
            <w:tcW w:w="3736" w:type="pct"/>
          </w:tcPr>
          <w:p w14:paraId="58BC0AD3">
            <w:pPr>
              <w:spacing w:line="360" w:lineRule="auto"/>
              <w:jc w:val="center"/>
              <w:rPr>
                <w:rFonts w:eastAsia="宋体" w:cs="仿宋_GB2312" w:asciiTheme="minorEastAsia" w:hAnsiTheme="minorEastAsia"/>
                <w:bCs/>
                <w:kern w:val="0"/>
                <w:szCs w:val="21"/>
              </w:rPr>
            </w:pPr>
          </w:p>
        </w:tc>
      </w:tr>
      <w:tr w14:paraId="6C9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3" w:type="pct"/>
            <w:vAlign w:val="center"/>
          </w:tcPr>
          <w:p w14:paraId="145E5BF0">
            <w:pPr>
              <w:spacing w:line="360" w:lineRule="auto"/>
              <w:jc w:val="center"/>
              <w:rPr>
                <w:rFonts w:eastAsia="宋体" w:cs="仿宋_GB2312" w:asciiTheme="minorEastAsia" w:hAnsiTheme="minorEastAsia"/>
                <w:b/>
                <w:kern w:val="0"/>
                <w:szCs w:val="21"/>
              </w:rPr>
            </w:pPr>
            <w:r>
              <w:rPr>
                <w:rFonts w:eastAsia="宋体" w:cs="仿宋_GB2312" w:asciiTheme="minorEastAsia" w:hAnsiTheme="minorEastAsia"/>
                <w:b/>
                <w:kern w:val="0"/>
                <w:szCs w:val="21"/>
              </w:rPr>
              <w:t>供应商地址</w:t>
            </w:r>
          </w:p>
        </w:tc>
        <w:tc>
          <w:tcPr>
            <w:tcW w:w="3736" w:type="pct"/>
          </w:tcPr>
          <w:p w14:paraId="6D9F64A9">
            <w:pPr>
              <w:spacing w:line="360" w:lineRule="auto"/>
              <w:jc w:val="center"/>
              <w:rPr>
                <w:rFonts w:eastAsia="宋体" w:cs="仿宋_GB2312" w:asciiTheme="minorEastAsia" w:hAnsiTheme="minorEastAsia"/>
                <w:bCs/>
                <w:kern w:val="0"/>
                <w:szCs w:val="21"/>
              </w:rPr>
            </w:pPr>
          </w:p>
        </w:tc>
      </w:tr>
      <w:tr w14:paraId="36DD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3" w:type="pct"/>
            <w:vAlign w:val="center"/>
          </w:tcPr>
          <w:p w14:paraId="7BC48BF3">
            <w:pPr>
              <w:spacing w:line="360" w:lineRule="auto"/>
              <w:jc w:val="center"/>
              <w:rPr>
                <w:rFonts w:eastAsia="宋体" w:cs="仿宋_GB2312" w:asciiTheme="minorEastAsia" w:hAnsiTheme="minorEastAsia"/>
                <w:b/>
                <w:kern w:val="0"/>
                <w:szCs w:val="21"/>
              </w:rPr>
            </w:pPr>
            <w:r>
              <w:rPr>
                <w:rFonts w:hint="eastAsia" w:eastAsia="宋体" w:cs="仿宋_GB2312" w:asciiTheme="minorEastAsia" w:hAnsiTheme="minorEastAsia"/>
                <w:b/>
                <w:kern w:val="0"/>
                <w:szCs w:val="21"/>
              </w:rPr>
              <w:t>联系人及联系电话</w:t>
            </w:r>
          </w:p>
        </w:tc>
        <w:tc>
          <w:tcPr>
            <w:tcW w:w="3736" w:type="pct"/>
          </w:tcPr>
          <w:p w14:paraId="72D984F2">
            <w:pPr>
              <w:spacing w:line="360" w:lineRule="auto"/>
              <w:jc w:val="center"/>
              <w:rPr>
                <w:rFonts w:eastAsia="宋体" w:cs="仿宋_GB2312" w:asciiTheme="minorEastAsia" w:hAnsiTheme="minorEastAsia"/>
                <w:bCs/>
                <w:kern w:val="0"/>
                <w:szCs w:val="21"/>
              </w:rPr>
            </w:pPr>
          </w:p>
        </w:tc>
      </w:tr>
      <w:tr w14:paraId="43D0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3" w:type="pct"/>
            <w:vAlign w:val="center"/>
          </w:tcPr>
          <w:p w14:paraId="5369D81C">
            <w:pPr>
              <w:spacing w:line="360" w:lineRule="auto"/>
              <w:jc w:val="center"/>
              <w:rPr>
                <w:rFonts w:eastAsia="宋体" w:cs="仿宋_GB2312" w:asciiTheme="minorEastAsia" w:hAnsiTheme="minorEastAsia"/>
                <w:b/>
                <w:kern w:val="0"/>
                <w:szCs w:val="21"/>
              </w:rPr>
            </w:pPr>
            <w:r>
              <w:rPr>
                <w:rFonts w:hint="eastAsia" w:eastAsia="宋体" w:cs="仿宋_GB2312" w:asciiTheme="minorEastAsia" w:hAnsiTheme="minorEastAsia"/>
                <w:b/>
                <w:kern w:val="0"/>
                <w:szCs w:val="21"/>
              </w:rPr>
              <w:t>电子邮箱</w:t>
            </w:r>
          </w:p>
        </w:tc>
        <w:tc>
          <w:tcPr>
            <w:tcW w:w="3736" w:type="pct"/>
          </w:tcPr>
          <w:p w14:paraId="398A7B8B">
            <w:pPr>
              <w:spacing w:line="360" w:lineRule="auto"/>
              <w:jc w:val="center"/>
              <w:rPr>
                <w:rFonts w:eastAsia="宋体" w:cs="仿宋_GB2312" w:asciiTheme="minorEastAsia" w:hAnsiTheme="minorEastAsia"/>
                <w:bCs/>
                <w:kern w:val="0"/>
                <w:szCs w:val="21"/>
              </w:rPr>
            </w:pPr>
          </w:p>
        </w:tc>
      </w:tr>
      <w:tr w14:paraId="161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3" w:type="pct"/>
            <w:vAlign w:val="center"/>
          </w:tcPr>
          <w:p w14:paraId="2B33B687">
            <w:pPr>
              <w:spacing w:line="360" w:lineRule="auto"/>
              <w:jc w:val="center"/>
              <w:rPr>
                <w:rFonts w:eastAsia="宋体" w:cs="仿宋_GB2312" w:asciiTheme="minorEastAsia" w:hAnsiTheme="minorEastAsia"/>
                <w:b/>
                <w:kern w:val="0"/>
                <w:szCs w:val="21"/>
              </w:rPr>
            </w:pPr>
            <w:r>
              <w:rPr>
                <w:rFonts w:eastAsia="宋体" w:cs="仿宋_GB2312" w:asciiTheme="minorEastAsia" w:hAnsiTheme="minorEastAsia"/>
                <w:b/>
                <w:kern w:val="0"/>
                <w:szCs w:val="21"/>
              </w:rPr>
              <w:t>从业人员数量</w:t>
            </w:r>
          </w:p>
        </w:tc>
        <w:tc>
          <w:tcPr>
            <w:tcW w:w="3736" w:type="pct"/>
          </w:tcPr>
          <w:p w14:paraId="562FF416">
            <w:pPr>
              <w:spacing w:line="360" w:lineRule="auto"/>
              <w:jc w:val="center"/>
              <w:rPr>
                <w:rFonts w:eastAsia="宋体" w:cs="仿宋_GB2312" w:asciiTheme="minorEastAsia" w:hAnsiTheme="minorEastAsia"/>
                <w:bCs/>
                <w:kern w:val="0"/>
                <w:szCs w:val="21"/>
              </w:rPr>
            </w:pPr>
          </w:p>
        </w:tc>
      </w:tr>
      <w:tr w14:paraId="7C0F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3" w:type="pct"/>
            <w:vAlign w:val="center"/>
          </w:tcPr>
          <w:p w14:paraId="0B133AC8">
            <w:pPr>
              <w:spacing w:line="360" w:lineRule="auto"/>
              <w:jc w:val="center"/>
              <w:rPr>
                <w:rFonts w:eastAsia="宋体" w:cs="仿宋_GB2312" w:asciiTheme="minorEastAsia" w:hAnsiTheme="minorEastAsia"/>
                <w:b/>
                <w:bCs/>
                <w:kern w:val="0"/>
                <w:szCs w:val="21"/>
              </w:rPr>
            </w:pPr>
            <w:r>
              <w:rPr>
                <w:rFonts w:hint="eastAsia" w:eastAsia="宋体" w:cs="仿宋_GB2312" w:asciiTheme="minorEastAsia" w:hAnsiTheme="minorEastAsia"/>
                <w:b/>
                <w:bCs/>
                <w:kern w:val="0"/>
                <w:szCs w:val="21"/>
              </w:rPr>
              <w:t>202</w:t>
            </w:r>
            <w:r>
              <w:rPr>
                <w:rFonts w:hint="eastAsia" w:eastAsia="宋体" w:cs="仿宋_GB2312" w:asciiTheme="minorEastAsia" w:hAnsiTheme="minorEastAsia"/>
                <w:b/>
                <w:bCs/>
                <w:kern w:val="0"/>
                <w:szCs w:val="21"/>
                <w:lang w:val="en-US" w:eastAsia="zh-CN"/>
              </w:rPr>
              <w:t>4</w:t>
            </w:r>
            <w:r>
              <w:rPr>
                <w:rFonts w:hint="eastAsia" w:eastAsia="宋体" w:cs="仿宋_GB2312" w:asciiTheme="minorEastAsia" w:hAnsiTheme="minorEastAsia"/>
                <w:b/>
                <w:bCs/>
                <w:kern w:val="0"/>
                <w:szCs w:val="21"/>
              </w:rPr>
              <w:t>年度营业收入</w:t>
            </w:r>
          </w:p>
        </w:tc>
        <w:tc>
          <w:tcPr>
            <w:tcW w:w="3736" w:type="pct"/>
          </w:tcPr>
          <w:p w14:paraId="54B50086">
            <w:pPr>
              <w:spacing w:line="360" w:lineRule="auto"/>
              <w:jc w:val="center"/>
              <w:rPr>
                <w:rFonts w:hint="eastAsia" w:eastAsia="宋体" w:cs="仿宋_GB2312" w:asciiTheme="minorEastAsia" w:hAnsiTheme="minorEastAsia"/>
                <w:b w:val="0"/>
                <w:bCs w:val="0"/>
                <w:kern w:val="0"/>
                <w:szCs w:val="21"/>
              </w:rPr>
            </w:pPr>
            <w:r>
              <w:rPr>
                <w:rFonts w:hint="eastAsia" w:eastAsia="宋体" w:cs="仿宋_GB2312" w:asciiTheme="minorEastAsia" w:hAnsiTheme="minorEastAsia"/>
                <w:b w:val="0"/>
                <w:bCs w:val="0"/>
                <w:kern w:val="0"/>
                <w:szCs w:val="21"/>
              </w:rPr>
              <w:t>（无上一年度数据的新成立企业可不填报）</w:t>
            </w:r>
          </w:p>
        </w:tc>
      </w:tr>
      <w:tr w14:paraId="7B08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3" w:type="pct"/>
            <w:vAlign w:val="center"/>
          </w:tcPr>
          <w:p w14:paraId="45ABA53D">
            <w:pPr>
              <w:spacing w:line="360" w:lineRule="auto"/>
              <w:jc w:val="center"/>
              <w:rPr>
                <w:rFonts w:hint="eastAsia" w:eastAsia="宋体" w:cs="仿宋_GB2312" w:asciiTheme="minorEastAsia" w:hAnsiTheme="minorEastAsia"/>
                <w:b/>
                <w:bCs/>
                <w:kern w:val="0"/>
                <w:szCs w:val="21"/>
                <w:lang w:eastAsia="zh-CN"/>
              </w:rPr>
            </w:pPr>
            <w:r>
              <w:rPr>
                <w:rFonts w:hint="eastAsia" w:eastAsia="宋体" w:cs="仿宋_GB2312" w:asciiTheme="minorEastAsia" w:hAnsiTheme="minorEastAsia"/>
                <w:b/>
                <w:bCs/>
                <w:kern w:val="0"/>
                <w:szCs w:val="21"/>
                <w:lang w:eastAsia="zh-CN"/>
              </w:rPr>
              <w:t>资产总额</w:t>
            </w:r>
          </w:p>
        </w:tc>
        <w:tc>
          <w:tcPr>
            <w:tcW w:w="3736" w:type="pct"/>
          </w:tcPr>
          <w:p w14:paraId="19050AB7">
            <w:pPr>
              <w:spacing w:line="360" w:lineRule="auto"/>
              <w:jc w:val="center"/>
              <w:rPr>
                <w:rFonts w:hint="eastAsia" w:eastAsia="宋体" w:cs="仿宋_GB2312" w:asciiTheme="minorEastAsia" w:hAnsiTheme="minorEastAsia"/>
                <w:b w:val="0"/>
                <w:bCs w:val="0"/>
                <w:kern w:val="0"/>
                <w:szCs w:val="21"/>
              </w:rPr>
            </w:pPr>
          </w:p>
        </w:tc>
      </w:tr>
      <w:tr w14:paraId="0FE4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3" w:type="pct"/>
            <w:vAlign w:val="center"/>
          </w:tcPr>
          <w:p w14:paraId="2A92110C">
            <w:pPr>
              <w:spacing w:line="360" w:lineRule="auto"/>
              <w:jc w:val="center"/>
              <w:rPr>
                <w:rFonts w:eastAsia="宋体" w:cs="仿宋_GB2312" w:asciiTheme="minorEastAsia" w:hAnsiTheme="minorEastAsia"/>
                <w:b/>
                <w:bCs/>
                <w:kern w:val="0"/>
                <w:szCs w:val="21"/>
              </w:rPr>
            </w:pPr>
            <w:r>
              <w:rPr>
                <w:rFonts w:hint="eastAsia" w:eastAsia="宋体" w:cs="仿宋_GB2312" w:asciiTheme="minorEastAsia" w:hAnsiTheme="minorEastAsia"/>
                <w:b/>
                <w:bCs/>
                <w:kern w:val="0"/>
                <w:szCs w:val="21"/>
              </w:rPr>
              <w:t>企业类别</w:t>
            </w:r>
          </w:p>
        </w:tc>
        <w:tc>
          <w:tcPr>
            <w:tcW w:w="3736" w:type="pct"/>
          </w:tcPr>
          <w:p w14:paraId="317A0C21">
            <w:pPr>
              <w:spacing w:line="360" w:lineRule="auto"/>
              <w:jc w:val="left"/>
              <w:rPr>
                <w:rFonts w:hint="eastAsia" w:eastAsia="宋体" w:cs="仿宋_GB2312" w:asciiTheme="minorEastAsia" w:hAnsiTheme="minorEastAsia"/>
                <w:b w:val="0"/>
                <w:bCs w:val="0"/>
                <w:kern w:val="0"/>
                <w:szCs w:val="21"/>
              </w:rPr>
            </w:pPr>
            <w:r>
              <w:rPr>
                <w:rFonts w:hint="eastAsia" w:eastAsia="宋体" w:cs="仿宋_GB2312" w:asciiTheme="minorEastAsia" w:hAnsiTheme="minorEastAsia"/>
                <w:b w:val="0"/>
                <w:bCs w:val="0"/>
                <w:kern w:val="0"/>
                <w:szCs w:val="21"/>
              </w:rPr>
              <w:t>根据《关于印发中小企业划型标准规定的通知》（工信部联企业〔2011〕300号）：</w:t>
            </w:r>
          </w:p>
          <w:p w14:paraId="340E8F4C">
            <w:pPr>
              <w:spacing w:line="360" w:lineRule="auto"/>
              <w:jc w:val="left"/>
              <w:rPr>
                <w:rFonts w:hint="eastAsia" w:eastAsia="宋体" w:cs="仿宋_GB2312" w:asciiTheme="minorEastAsia" w:hAnsiTheme="minorEastAsia"/>
                <w:b w:val="0"/>
                <w:bCs w:val="0"/>
                <w:kern w:val="0"/>
                <w:szCs w:val="21"/>
              </w:rPr>
            </w:pPr>
            <w:r>
              <w:rPr>
                <w:rFonts w:hint="eastAsia" w:eastAsia="宋体" w:cs="仿宋_GB2312" w:asciiTheme="minorEastAsia" w:hAnsiTheme="minorEastAsia"/>
                <w:b w:val="0"/>
                <w:bCs w:val="0"/>
                <w:kern w:val="0"/>
                <w:szCs w:val="21"/>
                <w:lang w:val="en-US" w:eastAsia="zh-CN"/>
              </w:rPr>
              <w:t>1、</w:t>
            </w:r>
            <w:r>
              <w:rPr>
                <w:rFonts w:hint="eastAsia" w:eastAsia="宋体" w:cs="仿宋_GB2312" w:asciiTheme="minorEastAsia" w:hAnsiTheme="minorEastAsia"/>
                <w:b w:val="0"/>
                <w:bCs w:val="0"/>
                <w:kern w:val="0"/>
                <w:szCs w:val="21"/>
              </w:rPr>
              <w:t>我单位属于“______”行业；【行业单选：</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农、林、牧、渔业，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2</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工业（包括采矿业，制造业，电力、热力、燃气及水生产和供应业），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3</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建筑业，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4</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批发业，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5</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零售业，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6</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交通运输业（不含铁路运输业），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7</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仓储业，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8</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邮政业，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9</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住宿业，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10</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餐饮业，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11</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信息传输业（包括电信、互联网和相关服务），</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12</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软件和信息技术服务业，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13</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房地产开发经营，</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14</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物业管理，</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15</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租赁和商务服务业，</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lang w:val="en-US" w:eastAsia="zh-CN"/>
              </w:rPr>
              <w:t>16</w:t>
            </w:r>
            <w:r>
              <w:rPr>
                <w:rFonts w:hint="eastAsia" w:eastAsia="宋体" w:cs="仿宋_GB2312" w:asciiTheme="minorEastAsia" w:hAnsiTheme="minorEastAsia"/>
                <w:b w:val="0"/>
                <w:bCs w:val="0"/>
                <w:kern w:val="0"/>
                <w:szCs w:val="21"/>
                <w:lang w:eastAsia="zh-CN"/>
              </w:rPr>
              <w:t>）</w:t>
            </w:r>
            <w:r>
              <w:rPr>
                <w:rFonts w:hint="eastAsia" w:eastAsia="宋体" w:cs="仿宋_GB2312" w:asciiTheme="minorEastAsia" w:hAnsiTheme="minorEastAsia"/>
                <w:b w:val="0"/>
                <w:bCs w:val="0"/>
                <w:kern w:val="0"/>
                <w:szCs w:val="21"/>
              </w:rPr>
              <w:t>其他未列明行业（包括科学研究和技术服务业，水利、环境和公共设施管理业，居民服务、修理和其他服务业，社会工作，文化、体育和娱乐业等）】</w:t>
            </w:r>
          </w:p>
          <w:p w14:paraId="299D94AE">
            <w:pPr>
              <w:spacing w:line="360" w:lineRule="auto"/>
              <w:jc w:val="left"/>
              <w:rPr>
                <w:rFonts w:hint="eastAsia" w:eastAsia="宋体" w:cs="仿宋_GB2312" w:asciiTheme="minorEastAsia" w:hAnsiTheme="minorEastAsia"/>
                <w:b w:val="0"/>
                <w:bCs w:val="0"/>
                <w:kern w:val="0"/>
                <w:szCs w:val="21"/>
              </w:rPr>
            </w:pPr>
            <w:r>
              <w:rPr>
                <w:rFonts w:hint="eastAsia" w:eastAsia="宋体" w:cs="仿宋_GB2312" w:asciiTheme="minorEastAsia" w:hAnsiTheme="minorEastAsia"/>
                <w:b w:val="0"/>
                <w:bCs w:val="0"/>
                <w:kern w:val="0"/>
                <w:szCs w:val="21"/>
                <w:lang w:val="en-US" w:eastAsia="zh-CN"/>
              </w:rPr>
              <w:t>2、</w:t>
            </w:r>
            <w:r>
              <w:rPr>
                <w:rFonts w:hint="eastAsia" w:eastAsia="宋体" w:cs="仿宋_GB2312" w:asciiTheme="minorEastAsia" w:hAnsiTheme="minorEastAsia"/>
                <w:b w:val="0"/>
                <w:bCs w:val="0"/>
                <w:kern w:val="0"/>
                <w:szCs w:val="21"/>
              </w:rPr>
              <w:t>根据《关于印发中小企业划型标准规定的通知》划型标准，属于：________【大型企业/中型企业/小型企业/微型企业（四选一）】</w:t>
            </w:r>
          </w:p>
          <w:p w14:paraId="12C70573">
            <w:pPr>
              <w:spacing w:line="360" w:lineRule="auto"/>
              <w:jc w:val="left"/>
              <w:rPr>
                <w:rFonts w:hint="eastAsia" w:eastAsia="宋体" w:cs="仿宋_GB2312" w:asciiTheme="minorEastAsia" w:hAnsiTheme="minorEastAsia"/>
                <w:b w:val="0"/>
                <w:bCs w:val="0"/>
                <w:kern w:val="0"/>
                <w:szCs w:val="21"/>
              </w:rPr>
            </w:pPr>
            <w:r>
              <w:rPr>
                <w:rFonts w:hint="eastAsia" w:eastAsia="宋体" w:cs="仿宋_GB2312" w:asciiTheme="minorEastAsia" w:hAnsiTheme="minorEastAsia"/>
                <w:b w:val="0"/>
                <w:bCs w:val="0"/>
                <w:kern w:val="0"/>
                <w:szCs w:val="21"/>
                <w:lang w:val="en-US" w:eastAsia="zh-CN"/>
              </w:rPr>
              <w:t>划型标准详见</w:t>
            </w:r>
            <w:r>
              <w:rPr>
                <w:rFonts w:hint="eastAsia" w:eastAsia="宋体" w:cs="仿宋_GB2312" w:asciiTheme="minorEastAsia" w:hAnsiTheme="minorEastAsia"/>
                <w:b w:val="0"/>
                <w:bCs w:val="0"/>
                <w:kern w:val="0"/>
                <w:szCs w:val="21"/>
              </w:rPr>
              <w:t>《关于印发中小企业划型标准规定的通知》</w:t>
            </w:r>
            <w:r>
              <w:rPr>
                <w:rFonts w:hint="eastAsia" w:eastAsia="宋体" w:cs="仿宋_GB2312" w:asciiTheme="minorEastAsia" w:hAnsiTheme="minorEastAsia"/>
                <w:b w:val="0"/>
                <w:bCs w:val="0"/>
                <w:kern w:val="0"/>
                <w:szCs w:val="21"/>
                <w:lang w:val="en-US" w:eastAsia="zh-CN"/>
              </w:rPr>
              <w:t>：http://www.ccgp.gov.cn/zcfg/mof/201310/t20131029_3587674.htm</w:t>
            </w:r>
          </w:p>
        </w:tc>
      </w:tr>
      <w:bookmarkEnd w:id="4"/>
      <w:bookmarkEnd w:id="5"/>
    </w:tbl>
    <w:p w14:paraId="642F7E77">
      <w:pPr>
        <w:numPr>
          <w:ilvl w:val="0"/>
          <w:numId w:val="1"/>
        </w:numPr>
        <w:spacing w:before="312" w:beforeLines="100" w:line="360" w:lineRule="auto"/>
        <w:jc w:val="left"/>
        <w:outlineLvl w:val="1"/>
        <w:rPr>
          <w:rFonts w:hint="eastAsia" w:ascii="Times New Roman" w:hAnsi="Times New Roman" w:eastAsia="宋体" w:cs="宋体"/>
          <w:b/>
          <w:bCs/>
          <w:szCs w:val="21"/>
          <w:lang w:eastAsia="zh-CN"/>
        </w:rPr>
      </w:pPr>
      <w:r>
        <w:rPr>
          <w:rFonts w:hint="eastAsia" w:ascii="Times New Roman" w:hAnsi="Times New Roman" w:eastAsia="宋体" w:cs="宋体"/>
          <w:b/>
          <w:bCs/>
          <w:szCs w:val="21"/>
          <w:lang w:eastAsia="zh-CN"/>
        </w:rPr>
        <w:t>供应商资料</w:t>
      </w:r>
    </w:p>
    <w:p w14:paraId="10CE9D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b/>
          <w:bCs/>
          <w:kern w:val="0"/>
          <w:sz w:val="21"/>
          <w:szCs w:val="21"/>
          <w:shd w:val="clear" w:color="auto" w:fill="FFFFFF"/>
          <w:lang w:val="en-US" w:eastAsia="zh-CN"/>
        </w:rPr>
      </w:pPr>
      <w:r>
        <w:rPr>
          <w:rFonts w:hint="eastAsia" w:ascii="宋体" w:hAnsi="宋体"/>
          <w:b/>
          <w:bCs/>
          <w:kern w:val="0"/>
          <w:sz w:val="21"/>
          <w:szCs w:val="21"/>
          <w:shd w:val="clear" w:color="auto" w:fill="FFFFFF"/>
          <w:lang w:val="en-US" w:eastAsia="zh-CN"/>
        </w:rPr>
        <w:t>1、营业执照</w:t>
      </w:r>
    </w:p>
    <w:p w14:paraId="0CF4DD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default" w:ascii="宋体" w:hAnsi="宋体"/>
          <w:b/>
          <w:bCs/>
          <w:kern w:val="0"/>
          <w:sz w:val="21"/>
          <w:szCs w:val="21"/>
          <w:shd w:val="clear" w:color="auto" w:fill="FFFFFF"/>
          <w:lang w:val="en-US" w:eastAsia="zh-CN"/>
        </w:rPr>
      </w:pPr>
      <w:r>
        <w:rPr>
          <w:rFonts w:hint="eastAsia" w:ascii="宋体" w:hAnsi="宋体"/>
          <w:b/>
          <w:bCs/>
          <w:kern w:val="0"/>
          <w:sz w:val="21"/>
          <w:szCs w:val="21"/>
          <w:shd w:val="clear" w:color="auto" w:fill="FFFFFF"/>
          <w:lang w:val="en-US" w:eastAsia="zh-CN"/>
        </w:rPr>
        <w:t>2、</w:t>
      </w:r>
      <w:r>
        <w:rPr>
          <w:rFonts w:hint="eastAsia" w:ascii="宋体" w:hAnsi="宋体"/>
          <w:b/>
          <w:bCs/>
          <w:kern w:val="0"/>
          <w:sz w:val="21"/>
          <w:szCs w:val="21"/>
          <w:shd w:val="clear" w:color="auto" w:fill="FFFFFF"/>
        </w:rPr>
        <w:t>资质条件</w:t>
      </w:r>
    </w:p>
    <w:p w14:paraId="5A358E2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default" w:ascii="宋体" w:hAnsi="宋体" w:eastAsiaTheme="minorEastAsia"/>
          <w:b w:val="0"/>
          <w:bCs w:val="0"/>
          <w:kern w:val="0"/>
          <w:sz w:val="21"/>
          <w:szCs w:val="21"/>
          <w:shd w:val="clear" w:color="auto" w:fill="FFFFFF"/>
          <w:lang w:val="en-US" w:eastAsia="zh-CN"/>
        </w:rPr>
      </w:pPr>
      <w:r>
        <w:rPr>
          <w:rFonts w:hint="eastAsia" w:ascii="宋体" w:hAnsi="宋体"/>
          <w:b w:val="0"/>
          <w:bCs w:val="0"/>
          <w:kern w:val="0"/>
          <w:sz w:val="21"/>
          <w:szCs w:val="21"/>
          <w:shd w:val="clear" w:color="auto" w:fill="FFFFFF"/>
          <w:lang w:val="en-US" w:eastAsia="zh-CN"/>
        </w:rPr>
        <w:t>2.1</w:t>
      </w:r>
      <w:bookmarkStart w:id="6" w:name="_Toc116987913"/>
      <w:bookmarkStart w:id="7" w:name="_Toc116988037"/>
      <w:r>
        <w:rPr>
          <w:rFonts w:hint="eastAsia" w:ascii="宋体" w:hAnsi="宋体"/>
          <w:b w:val="0"/>
          <w:bCs w:val="0"/>
          <w:kern w:val="0"/>
          <w:sz w:val="21"/>
          <w:szCs w:val="21"/>
          <w:shd w:val="clear" w:color="auto" w:fill="FFFFFF"/>
          <w:lang w:val="en-US" w:eastAsia="zh-CN"/>
        </w:rPr>
        <w:t>资质条件（若供应商认为本项目还需其他法规规定所必须的资质请一并列出）</w:t>
      </w:r>
    </w:p>
    <w:p w14:paraId="351D02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Times New Roman" w:hAnsi="Times New Roman" w:eastAsia="宋体" w:cs="宋体"/>
          <w:b/>
          <w:bCs/>
          <w:szCs w:val="21"/>
        </w:rPr>
      </w:pPr>
    </w:p>
    <w:p w14:paraId="2A2E28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ascii="Times New Roman" w:hAnsi="Times New Roman" w:eastAsia="宋体" w:cs="宋体"/>
          <w:b/>
          <w:bCs/>
          <w:szCs w:val="21"/>
        </w:rPr>
      </w:pPr>
      <w:r>
        <w:rPr>
          <w:rFonts w:hint="eastAsia" w:ascii="Times New Roman" w:hAnsi="Times New Roman" w:eastAsia="宋体" w:cs="宋体"/>
          <w:b/>
          <w:bCs/>
          <w:szCs w:val="21"/>
        </w:rPr>
        <w:t>三、相关产业发展</w:t>
      </w:r>
      <w:r>
        <w:rPr>
          <w:rFonts w:hint="eastAsia" w:ascii="宋体" w:hAnsi="宋体"/>
          <w:b w:val="0"/>
          <w:bCs w:val="0"/>
          <w:kern w:val="0"/>
          <w:sz w:val="21"/>
          <w:szCs w:val="21"/>
          <w:shd w:val="clear" w:color="auto" w:fill="FFFFFF"/>
        </w:rPr>
        <w:t>（供应商应当选择真实、有效的信息，信息来源应当有依据且符合当前市场实际情况，不得随意编造。）</w:t>
      </w:r>
    </w:p>
    <w:p w14:paraId="64D4D0B4">
      <w:r>
        <w:rPr>
          <w:rFonts w:hint="eastAsia" w:ascii="宋体" w:hAnsi="宋体" w:eastAsia="宋体"/>
          <w:b/>
          <w:szCs w:val="21"/>
          <w:lang w:val="en-US" w:eastAsia="zh-CN"/>
        </w:rPr>
        <w:t>1、</w:t>
      </w:r>
      <w:r>
        <w:rPr>
          <w:rFonts w:hint="eastAsia" w:ascii="宋体" w:hAnsi="宋体" w:eastAsia="宋体"/>
          <w:b/>
          <w:szCs w:val="21"/>
        </w:rPr>
        <w:t>现有行业的发展历程、行业现状等：</w:t>
      </w:r>
    </w:p>
    <w:p w14:paraId="4FB7C8DA">
      <w:pPr>
        <w:pStyle w:val="9"/>
      </w:pPr>
    </w:p>
    <w:p w14:paraId="1372EDEF">
      <w:pPr>
        <w:pStyle w:val="9"/>
      </w:pPr>
    </w:p>
    <w:p w14:paraId="11DBE535">
      <w:pPr>
        <w:pStyle w:val="9"/>
        <w:rPr>
          <w:rFonts w:hint="eastAsia" w:ascii="宋体" w:hAnsi="宋体" w:eastAsia="宋体"/>
          <w:b/>
          <w:szCs w:val="21"/>
          <w:lang w:eastAsia="zh-CN"/>
        </w:rPr>
      </w:pPr>
      <w:r>
        <w:rPr>
          <w:rFonts w:hint="eastAsia" w:ascii="宋体" w:hAnsi="宋体" w:eastAsia="宋体"/>
          <w:b/>
          <w:szCs w:val="21"/>
          <w:lang w:val="en-US" w:eastAsia="zh-CN"/>
        </w:rPr>
        <w:t>2、</w:t>
      </w:r>
      <w:r>
        <w:rPr>
          <w:rFonts w:hint="eastAsia" w:ascii="宋体" w:hAnsi="宋体" w:eastAsia="宋体"/>
          <w:b/>
          <w:szCs w:val="21"/>
        </w:rPr>
        <w:t>可能涉及的企业资质（如有）、产品资质（如有）、人员资质（如有）</w:t>
      </w:r>
      <w:r>
        <w:rPr>
          <w:rFonts w:hint="eastAsia" w:ascii="宋体" w:hAnsi="宋体" w:eastAsia="宋体"/>
          <w:b/>
          <w:szCs w:val="21"/>
          <w:lang w:eastAsia="zh-CN"/>
        </w:rPr>
        <w:t>：</w:t>
      </w:r>
    </w:p>
    <w:p w14:paraId="2B4B8D6E">
      <w:pPr>
        <w:pStyle w:val="9"/>
        <w:rPr>
          <w:rFonts w:hint="eastAsia" w:ascii="宋体" w:hAnsi="宋体" w:eastAsia="宋体"/>
          <w:b/>
          <w:szCs w:val="21"/>
          <w:lang w:eastAsia="zh-CN"/>
        </w:rPr>
      </w:pPr>
    </w:p>
    <w:p w14:paraId="108DB348">
      <w:pPr>
        <w:pStyle w:val="9"/>
        <w:rPr>
          <w:rFonts w:hint="eastAsia" w:ascii="宋体" w:hAnsi="宋体" w:eastAsia="宋体"/>
          <w:b/>
          <w:szCs w:val="21"/>
          <w:lang w:eastAsia="zh-CN"/>
        </w:rPr>
      </w:pPr>
    </w:p>
    <w:p w14:paraId="7753B6AD">
      <w:pPr>
        <w:numPr>
          <w:ilvl w:val="0"/>
          <w:numId w:val="0"/>
        </w:numPr>
        <w:rPr>
          <w:rFonts w:hint="eastAsia" w:ascii="宋体" w:hAnsi="宋体" w:eastAsia="宋体"/>
          <w:b/>
          <w:szCs w:val="21"/>
        </w:rPr>
      </w:pPr>
      <w:r>
        <w:rPr>
          <w:rFonts w:hint="eastAsia" w:ascii="宋体" w:hAnsi="宋体" w:eastAsia="宋体"/>
          <w:b/>
          <w:szCs w:val="21"/>
          <w:lang w:val="en-US" w:eastAsia="zh-CN"/>
        </w:rPr>
        <w:t>3、</w:t>
      </w:r>
      <w:r>
        <w:rPr>
          <w:rFonts w:hint="eastAsia" w:ascii="宋体" w:hAnsi="宋体" w:eastAsia="宋体"/>
          <w:b/>
          <w:szCs w:val="21"/>
        </w:rPr>
        <w:t>涉及的相关标准和规范：</w:t>
      </w:r>
    </w:p>
    <w:p w14:paraId="296617F4">
      <w:pPr>
        <w:pStyle w:val="9"/>
      </w:pPr>
    </w:p>
    <w:p w14:paraId="37112A62">
      <w:pPr>
        <w:pStyle w:val="9"/>
      </w:pPr>
    </w:p>
    <w:p w14:paraId="14BAA0B7">
      <w:pPr>
        <w:spacing w:line="360" w:lineRule="auto"/>
        <w:jc w:val="left"/>
        <w:outlineLvl w:val="1"/>
        <w:rPr>
          <w:rFonts w:ascii="Times New Roman" w:hAnsi="Times New Roman" w:eastAsia="宋体" w:cs="宋体"/>
          <w:b/>
          <w:bCs/>
          <w:szCs w:val="21"/>
        </w:rPr>
      </w:pPr>
      <w:r>
        <w:rPr>
          <w:rFonts w:hint="eastAsia" w:ascii="Times New Roman" w:hAnsi="Times New Roman" w:eastAsia="宋体" w:cs="宋体"/>
          <w:b/>
          <w:bCs/>
          <w:szCs w:val="21"/>
        </w:rPr>
        <w:t>四、市场供给</w:t>
      </w:r>
      <w:r>
        <w:rPr>
          <w:rFonts w:hint="eastAsia" w:ascii="宋体" w:hAnsi="宋体"/>
          <w:b w:val="0"/>
          <w:bCs w:val="0"/>
          <w:kern w:val="0"/>
          <w:sz w:val="21"/>
          <w:szCs w:val="21"/>
          <w:shd w:val="clear" w:color="auto" w:fill="FFFFFF"/>
        </w:rPr>
        <w:t>（供应商应当选择真实、有效的信息，信息来源应当有依据且符合当前市场实际情况，不得随意编造。）</w:t>
      </w:r>
    </w:p>
    <w:p w14:paraId="21295012">
      <w:r>
        <w:rPr>
          <w:rFonts w:hint="eastAsia" w:ascii="宋体" w:hAnsi="宋体" w:eastAsia="宋体"/>
          <w:b/>
          <w:szCs w:val="21"/>
          <w:lang w:val="en-US" w:eastAsia="zh-CN"/>
        </w:rPr>
        <w:t>1、</w:t>
      </w:r>
      <w:r>
        <w:rPr>
          <w:rFonts w:hint="eastAsia" w:ascii="宋体" w:hAnsi="宋体" w:eastAsia="宋体"/>
          <w:b/>
          <w:szCs w:val="21"/>
        </w:rPr>
        <w:t>市场竞争程度：</w:t>
      </w:r>
    </w:p>
    <w:p w14:paraId="75211336">
      <w:pPr>
        <w:pStyle w:val="9"/>
      </w:pPr>
    </w:p>
    <w:p w14:paraId="52DEB638">
      <w:pPr>
        <w:rPr>
          <w:rFonts w:ascii="宋体" w:hAnsi="宋体" w:eastAsia="宋体"/>
          <w:szCs w:val="21"/>
        </w:rPr>
      </w:pPr>
    </w:p>
    <w:p w14:paraId="6E5795AA">
      <w:r>
        <w:rPr>
          <w:rFonts w:hint="eastAsia" w:ascii="宋体" w:hAnsi="宋体" w:eastAsia="宋体"/>
          <w:b/>
          <w:szCs w:val="21"/>
          <w:lang w:val="en-US" w:eastAsia="zh-CN"/>
        </w:rPr>
        <w:t>2、</w:t>
      </w:r>
      <w:r>
        <w:rPr>
          <w:rFonts w:hint="eastAsia" w:ascii="宋体" w:hAnsi="宋体" w:eastAsia="宋体"/>
          <w:b/>
          <w:szCs w:val="21"/>
        </w:rPr>
        <w:t>价格水平或价格构成：</w:t>
      </w:r>
    </w:p>
    <w:p w14:paraId="1D6E5C66">
      <w:pPr>
        <w:pStyle w:val="9"/>
      </w:pPr>
    </w:p>
    <w:p w14:paraId="755E01AE">
      <w:pPr>
        <w:rPr>
          <w:rFonts w:ascii="宋体" w:hAnsi="宋体" w:eastAsia="宋体"/>
          <w:szCs w:val="21"/>
        </w:rPr>
      </w:pPr>
    </w:p>
    <w:p w14:paraId="12C9E63B">
      <w:pPr>
        <w:rPr>
          <w:rFonts w:ascii="宋体" w:hAnsi="宋体" w:eastAsia="宋体"/>
          <w:b/>
          <w:szCs w:val="21"/>
        </w:rPr>
      </w:pPr>
      <w:r>
        <w:rPr>
          <w:rFonts w:hint="eastAsia" w:ascii="宋体" w:hAnsi="宋体" w:eastAsia="宋体"/>
          <w:b/>
          <w:szCs w:val="21"/>
          <w:lang w:val="en-US" w:eastAsia="zh-CN"/>
        </w:rPr>
        <w:t>3、</w:t>
      </w:r>
      <w:r>
        <w:rPr>
          <w:rFonts w:hint="eastAsia" w:ascii="宋体" w:hAnsi="宋体" w:eastAsia="宋体"/>
          <w:b/>
          <w:szCs w:val="21"/>
        </w:rPr>
        <w:t>潜在供应商的数量、履约能力、售后服务能力：</w:t>
      </w:r>
    </w:p>
    <w:p w14:paraId="1F311E7C">
      <w:pPr>
        <w:pStyle w:val="9"/>
      </w:pPr>
    </w:p>
    <w:p w14:paraId="66F31387">
      <w:pPr>
        <w:pStyle w:val="9"/>
      </w:pPr>
    </w:p>
    <w:p w14:paraId="49DEBB26">
      <w:pPr>
        <w:widowControl/>
        <w:spacing w:line="360" w:lineRule="auto"/>
        <w:outlineLvl w:val="1"/>
        <w:rPr>
          <w:rFonts w:ascii="仿宋" w:hAnsi="仿宋" w:eastAsia="仿宋"/>
          <w:bCs/>
          <w:i/>
          <w:iCs/>
          <w:color w:val="000000" w:themeColor="text1"/>
          <w:sz w:val="24"/>
          <w:szCs w:val="22"/>
          <w14:textFill>
            <w14:solidFill>
              <w14:schemeClr w14:val="tx1"/>
            </w14:solidFill>
          </w14:textFill>
        </w:rPr>
      </w:pPr>
      <w:r>
        <w:rPr>
          <w:rFonts w:hint="eastAsia" w:ascii="宋体" w:hAnsi="宋体" w:eastAsia="宋体"/>
          <w:b/>
          <w:szCs w:val="21"/>
          <w:lang w:val="en-US" w:eastAsia="zh-CN"/>
        </w:rPr>
        <w:t>五、后续采购情况</w:t>
      </w:r>
      <w:r>
        <w:rPr>
          <w:rFonts w:hint="eastAsia" w:ascii="宋体" w:hAnsi="宋体"/>
          <w:b w:val="0"/>
          <w:bCs w:val="0"/>
          <w:kern w:val="0"/>
          <w:sz w:val="21"/>
          <w:szCs w:val="21"/>
          <w:shd w:val="clear" w:color="auto" w:fill="FFFFFF"/>
        </w:rPr>
        <w:t>（供应商应当选择真实、有效的信息，信息来源应当有依据且符合当前市场实际情况，不得随意编造。）</w:t>
      </w:r>
    </w:p>
    <w:p w14:paraId="6D0D8094">
      <w:pPr>
        <w:rPr>
          <w:rFonts w:hint="eastAsia" w:ascii="宋体" w:hAnsi="宋体" w:eastAsia="宋体"/>
          <w:b/>
          <w:szCs w:val="21"/>
          <w:lang w:val="en-US" w:eastAsia="zh-CN"/>
        </w:rPr>
      </w:pPr>
      <w:r>
        <w:rPr>
          <w:rFonts w:hint="eastAsia" w:ascii="宋体" w:hAnsi="宋体" w:eastAsia="宋体"/>
          <w:b/>
          <w:szCs w:val="21"/>
          <w:lang w:val="en-US" w:eastAsia="zh-CN"/>
        </w:rPr>
        <w:t>1、可能涉及的</w:t>
      </w:r>
      <w:r>
        <w:rPr>
          <w:rFonts w:hint="eastAsia" w:hAnsi="宋体"/>
          <w:b/>
          <w:szCs w:val="21"/>
          <w:lang w:val="en-US" w:eastAsia="zh-CN"/>
        </w:rPr>
        <w:t>后续服务</w:t>
      </w:r>
      <w:r>
        <w:rPr>
          <w:rFonts w:hint="eastAsia" w:ascii="宋体" w:hAnsi="宋体" w:eastAsia="宋体"/>
          <w:b/>
          <w:szCs w:val="21"/>
          <w:lang w:val="en-US" w:eastAsia="zh-CN"/>
        </w:rPr>
        <w:t>等情况：</w:t>
      </w:r>
    </w:p>
    <w:p w14:paraId="0975FC04">
      <w:pPr>
        <w:pStyle w:val="9"/>
      </w:pPr>
    </w:p>
    <w:p w14:paraId="0507E586">
      <w:pPr>
        <w:pStyle w:val="9"/>
      </w:pPr>
    </w:p>
    <w:bookmarkEnd w:id="6"/>
    <w:bookmarkEnd w:id="7"/>
    <w:p w14:paraId="51F2DE82">
      <w:pPr>
        <w:pStyle w:val="9"/>
      </w:pPr>
      <w:bookmarkStart w:id="8" w:name="_Toc116987915"/>
      <w:bookmarkStart w:id="9" w:name="_Toc116988039"/>
    </w:p>
    <w:p w14:paraId="73D8D93A">
      <w:pPr>
        <w:spacing w:line="360" w:lineRule="auto"/>
        <w:jc w:val="left"/>
        <w:outlineLvl w:val="1"/>
        <w:rPr>
          <w:rFonts w:hint="eastAsia" w:ascii="Times New Roman" w:hAnsi="Times New Roman" w:eastAsia="宋体" w:cs="宋体"/>
          <w:b/>
          <w:bCs/>
          <w:szCs w:val="21"/>
          <w:lang w:eastAsia="zh-CN"/>
        </w:rPr>
      </w:pPr>
      <w:r>
        <w:rPr>
          <w:rFonts w:hint="eastAsia" w:ascii="Times New Roman" w:hAnsi="Times New Roman" w:eastAsia="宋体" w:cs="宋体"/>
          <w:b/>
          <w:bCs/>
          <w:szCs w:val="21"/>
          <w:lang w:val="en-US" w:eastAsia="zh-CN"/>
        </w:rPr>
        <w:t>六</w:t>
      </w:r>
      <w:r>
        <w:rPr>
          <w:rFonts w:hint="eastAsia" w:ascii="Times New Roman" w:hAnsi="Times New Roman" w:eastAsia="宋体" w:cs="宋体"/>
          <w:b/>
          <w:bCs/>
          <w:szCs w:val="21"/>
        </w:rPr>
        <w:t>、</w:t>
      </w:r>
      <w:r>
        <w:rPr>
          <w:rFonts w:hint="eastAsia" w:ascii="Times New Roman" w:hAnsi="Times New Roman" w:eastAsia="宋体" w:cs="宋体"/>
          <w:b/>
          <w:bCs/>
          <w:szCs w:val="21"/>
          <w:lang w:eastAsia="zh-CN"/>
        </w:rPr>
        <w:t>近三年</w:t>
      </w:r>
      <w:r>
        <w:rPr>
          <w:rFonts w:hint="eastAsia" w:ascii="Times New Roman" w:hAnsi="Times New Roman" w:eastAsia="宋体" w:cs="宋体"/>
          <w:b/>
          <w:bCs/>
          <w:szCs w:val="21"/>
        </w:rPr>
        <w:t>同类项目成交</w:t>
      </w:r>
      <w:bookmarkEnd w:id="8"/>
      <w:bookmarkEnd w:id="9"/>
      <w:r>
        <w:rPr>
          <w:rFonts w:hint="eastAsia" w:ascii="Times New Roman" w:hAnsi="Times New Roman" w:eastAsia="宋体" w:cs="宋体"/>
          <w:b/>
          <w:bCs/>
          <w:szCs w:val="21"/>
          <w:lang w:eastAsia="zh-CN"/>
        </w:rPr>
        <w:t>情况</w:t>
      </w:r>
    </w:p>
    <w:tbl>
      <w:tblPr>
        <w:tblStyle w:val="14"/>
        <w:tblW w:w="9118" w:type="dxa"/>
        <w:tblInd w:w="0" w:type="dxa"/>
        <w:tblLayout w:type="autofit"/>
        <w:tblCellMar>
          <w:top w:w="0" w:type="dxa"/>
          <w:left w:w="0" w:type="dxa"/>
          <w:bottom w:w="0" w:type="dxa"/>
          <w:right w:w="0" w:type="dxa"/>
        </w:tblCellMar>
      </w:tblPr>
      <w:tblGrid>
        <w:gridCol w:w="1228"/>
        <w:gridCol w:w="1228"/>
        <w:gridCol w:w="1203"/>
        <w:gridCol w:w="1228"/>
        <w:gridCol w:w="1203"/>
        <w:gridCol w:w="1799"/>
        <w:gridCol w:w="1229"/>
      </w:tblGrid>
      <w:tr w14:paraId="618B365B">
        <w:tblPrEx>
          <w:tblCellMar>
            <w:top w:w="0" w:type="dxa"/>
            <w:left w:w="0" w:type="dxa"/>
            <w:bottom w:w="0" w:type="dxa"/>
            <w:right w:w="0"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A403">
            <w:pPr>
              <w:widowControl/>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项目名称</w:t>
            </w: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01F275">
            <w:pPr>
              <w:widowControl/>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项目内容</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06C79392">
            <w:pPr>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采购单位</w:t>
            </w: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0649961">
            <w:pPr>
              <w:widowControl/>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预算金额</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207816D7">
            <w:pPr>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购买时间</w:t>
            </w:r>
          </w:p>
        </w:tc>
        <w:tc>
          <w:tcPr>
            <w:tcW w:w="0" w:type="auto"/>
            <w:tcBorders>
              <w:top w:val="single" w:color="000000" w:sz="4" w:space="0"/>
              <w:left w:val="single" w:color="000000" w:sz="4" w:space="0"/>
              <w:bottom w:val="single" w:color="000000" w:sz="4" w:space="0"/>
              <w:right w:val="single" w:color="000000" w:sz="4" w:space="0"/>
            </w:tcBorders>
            <w:vAlign w:val="center"/>
          </w:tcPr>
          <w:p w14:paraId="4ED5F66E">
            <w:pPr>
              <w:widowControl/>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联系人、电话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0660">
            <w:pPr>
              <w:widowControl/>
              <w:spacing w:line="360" w:lineRule="auto"/>
              <w:jc w:val="center"/>
              <w:textAlignment w:val="center"/>
              <w:rPr>
                <w:rFonts w:ascii="Times New Roman" w:hAnsi="Times New Roman" w:eastAsia="宋体" w:cs="宋体"/>
                <w:b/>
                <w:kern w:val="0"/>
                <w:szCs w:val="21"/>
              </w:rPr>
            </w:pPr>
            <w:r>
              <w:rPr>
                <w:rFonts w:hint="eastAsia" w:ascii="Times New Roman" w:hAnsi="Times New Roman" w:eastAsia="宋体" w:cs="宋体"/>
                <w:b/>
                <w:kern w:val="0"/>
                <w:szCs w:val="21"/>
              </w:rPr>
              <w:t>成交金额</w:t>
            </w:r>
          </w:p>
        </w:tc>
      </w:tr>
      <w:tr w14:paraId="779CBD19">
        <w:tblPrEx>
          <w:tblCellMar>
            <w:top w:w="0" w:type="dxa"/>
            <w:left w:w="0" w:type="dxa"/>
            <w:bottom w:w="0" w:type="dxa"/>
            <w:right w:w="0" w:type="dxa"/>
          </w:tblCellMar>
        </w:tblPrEx>
        <w:trPr>
          <w:trHeight w:val="424"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0BBEF9">
            <w:pPr>
              <w:widowControl/>
              <w:spacing w:line="360" w:lineRule="auto"/>
              <w:jc w:val="center"/>
              <w:textAlignment w:val="center"/>
              <w:rPr>
                <w:rFonts w:ascii="Times New Roman" w:hAnsi="Times New Roman" w:eastAsia="宋体" w:cs="宋体"/>
                <w:bCs/>
                <w:szCs w:val="21"/>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5C18A3F">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4FEC1001">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526B7FC">
            <w:pPr>
              <w:spacing w:line="360" w:lineRule="auto"/>
              <w:jc w:val="left"/>
              <w:rPr>
                <w:rFonts w:ascii="Times New Roman" w:hAnsi="Times New Roman" w:eastAsia="宋体" w:cs="宋体"/>
                <w:szCs w:val="21"/>
              </w:rPr>
            </w:pP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7FE74158">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000000" w:sz="4" w:space="0"/>
            </w:tcBorders>
          </w:tcPr>
          <w:p w14:paraId="4171872D">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180936">
            <w:pPr>
              <w:spacing w:line="360" w:lineRule="auto"/>
              <w:jc w:val="left"/>
              <w:rPr>
                <w:rFonts w:ascii="Times New Roman" w:hAnsi="Times New Roman" w:eastAsia="宋体" w:cs="宋体"/>
                <w:szCs w:val="21"/>
              </w:rPr>
            </w:pPr>
          </w:p>
        </w:tc>
      </w:tr>
      <w:tr w14:paraId="781C063C">
        <w:tblPrEx>
          <w:tblCellMar>
            <w:top w:w="0" w:type="dxa"/>
            <w:left w:w="0" w:type="dxa"/>
            <w:bottom w:w="0" w:type="dxa"/>
            <w:right w:w="0" w:type="dxa"/>
          </w:tblCellMar>
        </w:tblPrEx>
        <w:trPr>
          <w:trHeight w:val="424"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EFC4D2">
            <w:pPr>
              <w:widowControl/>
              <w:spacing w:line="360" w:lineRule="auto"/>
              <w:jc w:val="center"/>
              <w:textAlignment w:val="center"/>
              <w:rPr>
                <w:rFonts w:ascii="Times New Roman" w:hAnsi="Times New Roman" w:eastAsia="宋体" w:cs="宋体"/>
                <w:bCs/>
                <w:szCs w:val="21"/>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50E80D4">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61EEEF1A">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6E62CBB">
            <w:pPr>
              <w:spacing w:line="360" w:lineRule="auto"/>
              <w:jc w:val="left"/>
              <w:rPr>
                <w:rFonts w:ascii="Times New Roman" w:hAnsi="Times New Roman" w:eastAsia="宋体" w:cs="宋体"/>
                <w:szCs w:val="21"/>
              </w:rPr>
            </w:pP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451E560B">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000000" w:sz="4" w:space="0"/>
            </w:tcBorders>
          </w:tcPr>
          <w:p w14:paraId="5CCE0216">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B95A3D">
            <w:pPr>
              <w:spacing w:line="360" w:lineRule="auto"/>
              <w:jc w:val="left"/>
              <w:rPr>
                <w:rFonts w:ascii="Times New Roman" w:hAnsi="Times New Roman" w:eastAsia="宋体" w:cs="宋体"/>
                <w:szCs w:val="21"/>
              </w:rPr>
            </w:pPr>
          </w:p>
        </w:tc>
      </w:tr>
      <w:tr w14:paraId="7873D653">
        <w:tblPrEx>
          <w:tblCellMar>
            <w:top w:w="0" w:type="dxa"/>
            <w:left w:w="0" w:type="dxa"/>
            <w:bottom w:w="0" w:type="dxa"/>
            <w:right w:w="0"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59FE">
            <w:pPr>
              <w:widowControl/>
              <w:spacing w:line="360" w:lineRule="auto"/>
              <w:jc w:val="center"/>
              <w:textAlignment w:val="center"/>
              <w:rPr>
                <w:rFonts w:ascii="Times New Roman" w:hAnsi="Times New Roman" w:eastAsia="宋体" w:cs="宋体"/>
                <w:bCs/>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40A092">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1FD4504F">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405E59">
            <w:pPr>
              <w:spacing w:line="360" w:lineRule="auto"/>
              <w:jc w:val="left"/>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56FC1A79">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tcPr>
          <w:p w14:paraId="2FDAE250">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DD75">
            <w:pPr>
              <w:spacing w:line="360" w:lineRule="auto"/>
              <w:jc w:val="left"/>
              <w:rPr>
                <w:rFonts w:ascii="Times New Roman" w:hAnsi="Times New Roman" w:eastAsia="宋体" w:cs="宋体"/>
                <w:szCs w:val="21"/>
              </w:rPr>
            </w:pPr>
          </w:p>
        </w:tc>
      </w:tr>
      <w:tr w14:paraId="29E42AFE">
        <w:tblPrEx>
          <w:tblCellMar>
            <w:top w:w="0" w:type="dxa"/>
            <w:left w:w="0" w:type="dxa"/>
            <w:bottom w:w="0" w:type="dxa"/>
            <w:right w:w="0"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554F">
            <w:pPr>
              <w:widowControl/>
              <w:spacing w:line="360" w:lineRule="auto"/>
              <w:jc w:val="center"/>
              <w:textAlignment w:val="center"/>
              <w:rPr>
                <w:rFonts w:ascii="Times New Roman" w:hAnsi="Times New Roman" w:eastAsia="宋体" w:cs="宋体"/>
                <w:bCs/>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BCFA35E">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16A6F0A0">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90B2FA">
            <w:pPr>
              <w:spacing w:line="360" w:lineRule="auto"/>
              <w:jc w:val="left"/>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5AFA4E1B">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tcPr>
          <w:p w14:paraId="619039AD">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2B1D">
            <w:pPr>
              <w:spacing w:line="360" w:lineRule="auto"/>
              <w:jc w:val="left"/>
              <w:rPr>
                <w:rFonts w:ascii="Times New Roman" w:hAnsi="Times New Roman" w:eastAsia="宋体" w:cs="宋体"/>
                <w:szCs w:val="21"/>
              </w:rPr>
            </w:pPr>
          </w:p>
        </w:tc>
      </w:tr>
      <w:tr w14:paraId="478430CF">
        <w:tblPrEx>
          <w:tblCellMar>
            <w:top w:w="0" w:type="dxa"/>
            <w:left w:w="0" w:type="dxa"/>
            <w:bottom w:w="0" w:type="dxa"/>
            <w:right w:w="0"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9A03">
            <w:pPr>
              <w:widowControl/>
              <w:spacing w:line="360" w:lineRule="auto"/>
              <w:jc w:val="center"/>
              <w:textAlignment w:val="center"/>
              <w:rPr>
                <w:rFonts w:ascii="Times New Roman" w:hAnsi="Times New Roman" w:eastAsia="宋体" w:cs="宋体"/>
                <w:bCs/>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6099F7">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6EDD864A">
            <w:pPr>
              <w:widowControl/>
              <w:spacing w:line="360" w:lineRule="auto"/>
              <w:jc w:val="left"/>
              <w:textAlignment w:val="center"/>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BE9381">
            <w:pPr>
              <w:spacing w:line="360" w:lineRule="auto"/>
              <w:jc w:val="left"/>
              <w:rPr>
                <w:rFonts w:ascii="Times New Roman" w:hAnsi="Times New Roman" w:eastAsia="宋体" w:cs="宋体"/>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5F8F39FC">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tcPr>
          <w:p w14:paraId="590B0BF5">
            <w:pPr>
              <w:spacing w:line="360" w:lineRule="auto"/>
              <w:jc w:val="left"/>
              <w:rPr>
                <w:rFonts w:ascii="Times New Roman" w:hAnsi="Times New Roman"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1EAA">
            <w:pPr>
              <w:spacing w:line="360" w:lineRule="auto"/>
              <w:jc w:val="left"/>
              <w:rPr>
                <w:rFonts w:ascii="Times New Roman" w:hAnsi="Times New Roman" w:eastAsia="宋体" w:cs="宋体"/>
                <w:szCs w:val="21"/>
              </w:rPr>
            </w:pPr>
          </w:p>
        </w:tc>
      </w:tr>
    </w:tbl>
    <w:p w14:paraId="003E9E67">
      <w:pPr>
        <w:outlineLvl w:val="9"/>
      </w:pPr>
      <w:bookmarkStart w:id="10" w:name="_Toc116987916"/>
      <w:bookmarkStart w:id="11" w:name="_Toc116988040"/>
    </w:p>
    <w:p w14:paraId="042D33DD"/>
    <w:p w14:paraId="333A087C">
      <w:pPr>
        <w:spacing w:line="360" w:lineRule="auto"/>
        <w:jc w:val="left"/>
        <w:outlineLvl w:val="1"/>
        <w:rPr>
          <w:rFonts w:ascii="Times New Roman" w:hAnsi="Times New Roman" w:eastAsia="宋体" w:cs="宋体"/>
          <w:b/>
          <w:bCs/>
          <w:szCs w:val="21"/>
        </w:rPr>
      </w:pPr>
      <w:r>
        <w:rPr>
          <w:rFonts w:hint="eastAsia" w:ascii="Times New Roman" w:hAnsi="Times New Roman" w:eastAsia="宋体" w:cs="宋体"/>
          <w:b/>
          <w:bCs/>
          <w:szCs w:val="21"/>
        </w:rPr>
        <w:t>七、其他建议</w:t>
      </w:r>
      <w:bookmarkEnd w:id="10"/>
      <w:bookmarkEnd w:id="11"/>
    </w:p>
    <w:p w14:paraId="3B3CDE72">
      <w:pPr>
        <w:rPr>
          <w:rFonts w:hint="eastAsia" w:ascii="宋体" w:hAnsi="宋体" w:eastAsia="宋体"/>
          <w:b/>
          <w:szCs w:val="21"/>
          <w:lang w:val="en-US" w:eastAsia="zh-CN"/>
        </w:rPr>
      </w:pPr>
      <w:r>
        <w:rPr>
          <w:rFonts w:hint="eastAsia" w:ascii="宋体" w:hAnsi="宋体" w:eastAsia="宋体"/>
          <w:b/>
          <w:szCs w:val="21"/>
          <w:lang w:val="en-US" w:eastAsia="zh-CN"/>
        </w:rPr>
        <w:t>1、采购标的技术、商务要求的建议：</w:t>
      </w:r>
    </w:p>
    <w:p w14:paraId="468F01B9">
      <w:pPr>
        <w:rPr>
          <w:rFonts w:hint="eastAsia" w:ascii="宋体" w:hAnsi="宋体" w:eastAsia="宋体"/>
          <w:b/>
          <w:szCs w:val="21"/>
          <w:lang w:val="en-US" w:eastAsia="zh-CN"/>
        </w:rPr>
      </w:pPr>
    </w:p>
    <w:p w14:paraId="63B62975">
      <w:pPr>
        <w:rPr>
          <w:rFonts w:hint="eastAsia" w:ascii="宋体" w:hAnsi="宋体" w:eastAsia="宋体"/>
          <w:b/>
          <w:szCs w:val="21"/>
          <w:lang w:val="en-US" w:eastAsia="zh-CN"/>
        </w:rPr>
      </w:pPr>
    </w:p>
    <w:p w14:paraId="4EA4A6FF">
      <w:pPr>
        <w:rPr>
          <w:rFonts w:hint="eastAsia" w:ascii="宋体" w:hAnsi="宋体" w:eastAsia="宋体"/>
          <w:b/>
          <w:szCs w:val="21"/>
          <w:lang w:val="en-US" w:eastAsia="zh-CN"/>
        </w:rPr>
      </w:pPr>
      <w:r>
        <w:rPr>
          <w:rFonts w:hint="eastAsia" w:ascii="宋体" w:hAnsi="宋体" w:eastAsia="宋体"/>
          <w:b/>
          <w:szCs w:val="21"/>
          <w:lang w:val="en-US" w:eastAsia="zh-CN"/>
        </w:rPr>
        <w:t>2、有利于项目实施的其他建议：</w:t>
      </w:r>
    </w:p>
    <w:p w14:paraId="232EFA2A">
      <w:pPr>
        <w:outlineLvl w:val="9"/>
      </w:pPr>
    </w:p>
    <w:p w14:paraId="1AAC0637">
      <w:pPr>
        <w:spacing w:line="360" w:lineRule="auto"/>
        <w:ind w:right="960" w:firstLine="4819" w:firstLineChars="2000"/>
        <w:rPr>
          <w:rFonts w:ascii="Times New Roman" w:hAnsi="Times New Roman" w:eastAsia="宋体" w:cs="宋体"/>
          <w:b/>
          <w:bCs/>
          <w:szCs w:val="21"/>
        </w:rPr>
      </w:pPr>
    </w:p>
    <w:p w14:paraId="3C84855A">
      <w:pPr>
        <w:spacing w:line="360" w:lineRule="auto"/>
        <w:ind w:right="960" w:firstLine="4819" w:firstLineChars="2000"/>
        <w:rPr>
          <w:rFonts w:ascii="Times New Roman" w:hAnsi="Times New Roman" w:eastAsia="宋体" w:cs="宋体"/>
          <w:b/>
          <w:bCs/>
          <w:szCs w:val="21"/>
        </w:rPr>
      </w:pPr>
    </w:p>
    <w:p w14:paraId="4DD019FE">
      <w:pPr>
        <w:pStyle w:val="9"/>
        <w:rPr>
          <w:rFonts w:ascii="Times New Roman" w:hAnsi="Times New Roman" w:eastAsia="宋体" w:cs="宋体"/>
          <w:b/>
          <w:bCs/>
          <w:szCs w:val="21"/>
        </w:rPr>
      </w:pPr>
    </w:p>
    <w:p w14:paraId="2EEF33B3">
      <w:pPr>
        <w:pStyle w:val="9"/>
        <w:rPr>
          <w:rFonts w:ascii="Times New Roman" w:hAnsi="Times New Roman" w:eastAsia="宋体" w:cs="宋体"/>
          <w:b/>
          <w:bCs/>
          <w:szCs w:val="21"/>
        </w:rPr>
      </w:pPr>
    </w:p>
    <w:p w14:paraId="7F55C140">
      <w:pPr>
        <w:spacing w:line="360" w:lineRule="auto"/>
        <w:ind w:right="960" w:firstLine="4819" w:firstLineChars="2000"/>
        <w:rPr>
          <w:rFonts w:ascii="Times New Roman" w:hAnsi="Times New Roman" w:eastAsia="宋体" w:cs="宋体"/>
          <w:b/>
          <w:bCs/>
          <w:szCs w:val="21"/>
        </w:rPr>
      </w:pPr>
      <w:r>
        <w:rPr>
          <w:rFonts w:hint="eastAsia" w:ascii="Times New Roman" w:hAnsi="Times New Roman" w:eastAsia="宋体" w:cs="宋体"/>
          <w:b/>
          <w:bCs/>
          <w:szCs w:val="21"/>
        </w:rPr>
        <w:t>公司名称（盖章）</w:t>
      </w:r>
    </w:p>
    <w:p w14:paraId="1BBD9C08">
      <w:pPr>
        <w:spacing w:line="360" w:lineRule="auto"/>
        <w:ind w:firstLine="4819" w:firstLineChars="2000"/>
        <w:jc w:val="left"/>
        <w:rPr>
          <w:rFonts w:ascii="Times New Roman" w:hAnsi="Times New Roman" w:eastAsia="宋体" w:cs="宋体"/>
          <w:b/>
          <w:bCs/>
          <w:szCs w:val="21"/>
        </w:rPr>
      </w:pPr>
      <w:r>
        <w:rPr>
          <w:rFonts w:hint="eastAsia" w:ascii="Times New Roman" w:hAnsi="Times New Roman" w:eastAsia="宋体" w:cs="宋体"/>
          <w:b/>
          <w:bCs/>
          <w:szCs w:val="21"/>
        </w:rPr>
        <w:t>联系人：</w:t>
      </w:r>
    </w:p>
    <w:p w14:paraId="51A93FE8">
      <w:pPr>
        <w:spacing w:line="360" w:lineRule="auto"/>
        <w:ind w:firstLine="4819" w:firstLineChars="2000"/>
        <w:jc w:val="left"/>
        <w:rPr>
          <w:rFonts w:ascii="Times New Roman" w:hAnsi="Times New Roman" w:eastAsia="宋体" w:cs="宋体"/>
          <w:b/>
          <w:bCs/>
          <w:szCs w:val="21"/>
        </w:rPr>
      </w:pPr>
      <w:r>
        <w:rPr>
          <w:rFonts w:hint="eastAsia" w:ascii="Times New Roman" w:hAnsi="Times New Roman" w:eastAsia="宋体" w:cs="宋体"/>
          <w:b/>
          <w:bCs/>
          <w:szCs w:val="21"/>
        </w:rPr>
        <w:t>联系电话：</w:t>
      </w:r>
    </w:p>
    <w:p w14:paraId="577B7D43">
      <w:pPr>
        <w:spacing w:line="360" w:lineRule="auto"/>
        <w:ind w:firstLine="5893" w:firstLineChars="2446"/>
        <w:jc w:val="left"/>
        <w:rPr>
          <w:rFonts w:cs="仿宋_GB2312" w:asciiTheme="minorEastAsia" w:hAnsiTheme="minorEastAsia"/>
          <w:b/>
          <w:bCs/>
          <w:szCs w:val="21"/>
        </w:rPr>
      </w:pPr>
    </w:p>
    <w:p w14:paraId="1C60F251">
      <w:pPr>
        <w:rPr>
          <w:rFonts w:hint="eastAsia" w:hAnsi="宋体"/>
          <w:b/>
          <w:bCs/>
          <w:kern w:val="44"/>
          <w:sz w:val="32"/>
          <w:szCs w:val="32"/>
          <w:highlight w:val="none"/>
          <w:lang w:eastAsia="zh-CN"/>
        </w:rPr>
      </w:pPr>
      <w:r>
        <w:rPr>
          <w:rFonts w:hint="eastAsia" w:hAnsi="宋体"/>
          <w:b/>
          <w:bCs/>
          <w:kern w:val="44"/>
          <w:sz w:val="32"/>
          <w:szCs w:val="32"/>
          <w:highlight w:val="none"/>
          <w:lang w:eastAsia="zh-CN"/>
        </w:rPr>
        <w:br w:type="page"/>
      </w:r>
    </w:p>
    <w:p w14:paraId="2D182D75">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C05225E">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2ED85CF1">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0FF3C6C">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02215E33">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575F6380">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2AC59F5B">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60B55633">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2952F399">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369999F0">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1F435EF5">
      <w:pPr>
        <w:keepNext w:val="0"/>
        <w:keepLines w:val="0"/>
        <w:pageBreakBefore w:val="0"/>
        <w:widowControl/>
        <w:kinsoku/>
        <w:wordWrap/>
        <w:overflowPunct/>
        <w:topLinePunct w:val="0"/>
        <w:autoSpaceDE/>
        <w:autoSpaceDN/>
        <w:bidi w:val="0"/>
        <w:adjustRightInd/>
        <w:snapToGrid/>
        <w:spacing w:line="440" w:lineRule="exact"/>
        <w:ind w:firstLine="420" w:firstLineChars="0"/>
        <w:jc w:val="center"/>
        <w:textAlignment w:val="auto"/>
        <w:rPr>
          <w:rFonts w:hint="eastAsia" w:hAnsi="宋体"/>
          <w:b/>
          <w:bCs/>
          <w:kern w:val="44"/>
          <w:sz w:val="28"/>
          <w:szCs w:val="28"/>
          <w:highlight w:val="none"/>
          <w:lang w:val="en-US" w:eastAsia="zh-CN"/>
        </w:rPr>
      </w:pPr>
    </w:p>
    <w:p w14:paraId="4E757F53">
      <w:pPr>
        <w:keepNext w:val="0"/>
        <w:keepLines w:val="0"/>
        <w:pageBreakBefore w:val="0"/>
        <w:widowControl/>
        <w:kinsoku/>
        <w:wordWrap/>
        <w:overflowPunct/>
        <w:topLinePunct w:val="0"/>
        <w:autoSpaceDE/>
        <w:autoSpaceDN/>
        <w:bidi w:val="0"/>
        <w:adjustRightInd/>
        <w:snapToGrid/>
        <w:spacing w:line="360" w:lineRule="auto"/>
        <w:ind w:firstLine="420" w:firstLineChars="0"/>
        <w:jc w:val="center"/>
        <w:textAlignment w:val="auto"/>
        <w:outlineLvl w:val="0"/>
        <w:rPr>
          <w:rFonts w:hint="default" w:hAnsi="宋体"/>
          <w:b/>
          <w:bCs/>
          <w:kern w:val="44"/>
          <w:sz w:val="56"/>
          <w:szCs w:val="56"/>
          <w:highlight w:val="none"/>
          <w:lang w:val="en-US" w:eastAsia="zh-CN"/>
        </w:rPr>
      </w:pPr>
      <w:r>
        <w:rPr>
          <w:rFonts w:hint="eastAsia" w:hAnsi="宋体"/>
          <w:b/>
          <w:bCs/>
          <w:kern w:val="44"/>
          <w:sz w:val="56"/>
          <w:szCs w:val="56"/>
          <w:highlight w:val="none"/>
          <w:lang w:val="en-US" w:eastAsia="zh-CN"/>
        </w:rPr>
        <w:t>第二</w:t>
      </w:r>
      <w:bookmarkStart w:id="12" w:name="_GoBack"/>
      <w:bookmarkEnd w:id="12"/>
      <w:r>
        <w:rPr>
          <w:rFonts w:hint="eastAsia" w:hAnsi="宋体"/>
          <w:b/>
          <w:bCs/>
          <w:kern w:val="44"/>
          <w:sz w:val="56"/>
          <w:szCs w:val="56"/>
          <w:highlight w:val="none"/>
          <w:lang w:val="en-US" w:eastAsia="zh-CN"/>
        </w:rPr>
        <w:t>章  初步需求</w:t>
      </w:r>
    </w:p>
    <w:p w14:paraId="29ECBA81">
      <w:pPr>
        <w:rPr>
          <w:rFonts w:hint="eastAsia" w:hAnsi="宋体"/>
          <w:b/>
          <w:bCs/>
          <w:kern w:val="44"/>
          <w:sz w:val="28"/>
          <w:szCs w:val="28"/>
          <w:highlight w:val="none"/>
          <w:lang w:val="en-US" w:eastAsia="zh-CN"/>
        </w:rPr>
      </w:pPr>
      <w:r>
        <w:rPr>
          <w:rFonts w:hint="eastAsia" w:hAnsi="宋体"/>
          <w:b/>
          <w:bCs/>
          <w:kern w:val="44"/>
          <w:sz w:val="28"/>
          <w:szCs w:val="28"/>
          <w:highlight w:val="none"/>
          <w:lang w:val="en-US" w:eastAsia="zh-CN"/>
        </w:rPr>
        <w:br w:type="page"/>
      </w:r>
    </w:p>
    <w:p w14:paraId="55D49503">
      <w:pPr>
        <w:keepNext w:val="0"/>
        <w:keepLines w:val="0"/>
        <w:pageBreakBefore/>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hAnsi="宋体"/>
          <w:b/>
          <w:bCs/>
          <w:kern w:val="44"/>
          <w:sz w:val="32"/>
          <w:szCs w:val="32"/>
          <w:highlight w:val="none"/>
        </w:rPr>
      </w:pPr>
      <w:r>
        <w:rPr>
          <w:rFonts w:hint="eastAsia" w:hAnsi="宋体"/>
          <w:b/>
          <w:bCs/>
          <w:kern w:val="44"/>
          <w:sz w:val="32"/>
          <w:szCs w:val="32"/>
          <w:highlight w:val="none"/>
          <w:lang w:eastAsia="zh-CN"/>
        </w:rPr>
        <w:t>2025年-2026年阳江市阳东区财政局投资评审服务项目</w:t>
      </w:r>
      <w:r>
        <w:rPr>
          <w:rFonts w:hint="eastAsia" w:hAnsi="宋体"/>
          <w:b/>
          <w:bCs/>
          <w:kern w:val="44"/>
          <w:sz w:val="32"/>
          <w:szCs w:val="32"/>
          <w:highlight w:val="none"/>
        </w:rPr>
        <w:br w:type="textWrapping"/>
      </w:r>
      <w:r>
        <w:rPr>
          <w:rFonts w:hint="eastAsia" w:hAnsi="宋体"/>
          <w:b/>
          <w:bCs/>
          <w:kern w:val="44"/>
          <w:sz w:val="32"/>
          <w:szCs w:val="32"/>
          <w:highlight w:val="none"/>
        </w:rPr>
        <w:t>采购需求（征求意见稿）</w:t>
      </w:r>
    </w:p>
    <w:p w14:paraId="36B76056">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default"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征集项目概况</w:t>
      </w:r>
    </w:p>
    <w:p w14:paraId="33F7A433">
      <w:pPr>
        <w:pStyle w:val="31"/>
        <w:spacing w:line="360" w:lineRule="auto"/>
        <w:ind w:firstLine="420" w:firstLineChars="200"/>
        <w:rPr>
          <w:rFonts w:hint="default"/>
          <w:sz w:val="21"/>
          <w:szCs w:val="21"/>
          <w:highlight w:val="none"/>
        </w:rPr>
      </w:pPr>
      <w:r>
        <w:rPr>
          <w:sz w:val="21"/>
          <w:szCs w:val="21"/>
          <w:highlight w:val="none"/>
        </w:rPr>
        <w:t>根据《政府采购框架协议采购方式管理暂行办法》，本次采购采用“封闭式框架协议”“质量优先”评审标准，拟征集8名入围供应商承担2025年-2026年阳江市阳东区财政局投资评审服务项目。服务内容包括区级财政投资项目概算、预算、财务决算评审服务。具体的评审工作按阳江市阳东区财政局的规章制度或文件要求开展。第二阶段确定成交供应商的方法，由采购人依据供应商的服务质量、服务便利性、用户评价及考核评估结果从第一阶段的入围供应商中采用“直接选定”方式确定第二阶段成交供应商。</w:t>
      </w:r>
    </w:p>
    <w:p w14:paraId="3E631404">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default"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采购内容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7"/>
        <w:gridCol w:w="796"/>
        <w:gridCol w:w="1749"/>
        <w:gridCol w:w="1118"/>
        <w:gridCol w:w="641"/>
        <w:gridCol w:w="1145"/>
        <w:gridCol w:w="982"/>
        <w:gridCol w:w="1316"/>
      </w:tblGrid>
      <w:tr w14:paraId="4E4EB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7" w:type="dxa"/>
            <w:vAlign w:val="center"/>
          </w:tcPr>
          <w:p w14:paraId="7A03AEF9">
            <w:pPr>
              <w:pStyle w:val="31"/>
              <w:spacing w:line="360" w:lineRule="auto"/>
              <w:jc w:val="center"/>
              <w:rPr>
                <w:rFonts w:hint="default"/>
                <w:sz w:val="21"/>
                <w:szCs w:val="21"/>
                <w:highlight w:val="none"/>
              </w:rPr>
            </w:pPr>
            <w:r>
              <w:rPr>
                <w:sz w:val="21"/>
                <w:szCs w:val="21"/>
                <w:highlight w:val="none"/>
              </w:rPr>
              <w:t>序号</w:t>
            </w:r>
          </w:p>
        </w:tc>
        <w:tc>
          <w:tcPr>
            <w:tcW w:w="796" w:type="dxa"/>
            <w:vAlign w:val="center"/>
          </w:tcPr>
          <w:p w14:paraId="7A5C7845">
            <w:pPr>
              <w:pStyle w:val="31"/>
              <w:spacing w:line="360" w:lineRule="auto"/>
              <w:jc w:val="center"/>
              <w:rPr>
                <w:rFonts w:hint="default"/>
                <w:sz w:val="21"/>
                <w:szCs w:val="21"/>
                <w:highlight w:val="none"/>
              </w:rPr>
            </w:pPr>
            <w:r>
              <w:rPr>
                <w:sz w:val="21"/>
                <w:szCs w:val="21"/>
                <w:highlight w:val="none"/>
              </w:rPr>
              <w:t>采购包号</w:t>
            </w:r>
          </w:p>
        </w:tc>
        <w:tc>
          <w:tcPr>
            <w:tcW w:w="1749" w:type="dxa"/>
            <w:vAlign w:val="center"/>
          </w:tcPr>
          <w:p w14:paraId="487EEBF9">
            <w:pPr>
              <w:pStyle w:val="31"/>
              <w:spacing w:line="360" w:lineRule="auto"/>
              <w:jc w:val="center"/>
              <w:rPr>
                <w:rFonts w:hint="default"/>
                <w:sz w:val="21"/>
                <w:szCs w:val="21"/>
                <w:highlight w:val="none"/>
              </w:rPr>
            </w:pPr>
            <w:r>
              <w:rPr>
                <w:sz w:val="21"/>
                <w:szCs w:val="21"/>
                <w:highlight w:val="none"/>
              </w:rPr>
              <w:t>标的名称</w:t>
            </w:r>
          </w:p>
        </w:tc>
        <w:tc>
          <w:tcPr>
            <w:tcW w:w="1118" w:type="dxa"/>
            <w:vAlign w:val="center"/>
          </w:tcPr>
          <w:p w14:paraId="482F8181">
            <w:pPr>
              <w:pStyle w:val="31"/>
              <w:spacing w:line="360" w:lineRule="auto"/>
              <w:jc w:val="center"/>
              <w:rPr>
                <w:rFonts w:hint="default"/>
                <w:sz w:val="21"/>
                <w:szCs w:val="21"/>
                <w:highlight w:val="none"/>
              </w:rPr>
            </w:pPr>
            <w:r>
              <w:rPr>
                <w:sz w:val="21"/>
                <w:szCs w:val="21"/>
                <w:highlight w:val="none"/>
              </w:rPr>
              <w:t>采购品目</w:t>
            </w:r>
          </w:p>
        </w:tc>
        <w:tc>
          <w:tcPr>
            <w:tcW w:w="641" w:type="dxa"/>
            <w:vAlign w:val="center"/>
          </w:tcPr>
          <w:p w14:paraId="618807BB">
            <w:pPr>
              <w:pStyle w:val="31"/>
              <w:spacing w:line="360" w:lineRule="auto"/>
              <w:jc w:val="center"/>
              <w:rPr>
                <w:rFonts w:hint="default"/>
                <w:sz w:val="21"/>
                <w:szCs w:val="21"/>
                <w:highlight w:val="none"/>
              </w:rPr>
            </w:pPr>
            <w:r>
              <w:rPr>
                <w:sz w:val="21"/>
                <w:szCs w:val="21"/>
                <w:highlight w:val="none"/>
              </w:rPr>
              <w:t>计量单位</w:t>
            </w:r>
          </w:p>
        </w:tc>
        <w:tc>
          <w:tcPr>
            <w:tcW w:w="1145" w:type="dxa"/>
            <w:vAlign w:val="center"/>
          </w:tcPr>
          <w:p w14:paraId="3A9D70EB">
            <w:pPr>
              <w:pStyle w:val="31"/>
              <w:spacing w:line="360" w:lineRule="auto"/>
              <w:jc w:val="center"/>
              <w:rPr>
                <w:rFonts w:hint="default"/>
                <w:sz w:val="21"/>
                <w:szCs w:val="21"/>
                <w:highlight w:val="none"/>
              </w:rPr>
            </w:pPr>
            <w:r>
              <w:rPr>
                <w:sz w:val="21"/>
                <w:szCs w:val="21"/>
                <w:highlight w:val="none"/>
              </w:rPr>
              <w:t>所属行业</w:t>
            </w:r>
          </w:p>
        </w:tc>
        <w:tc>
          <w:tcPr>
            <w:tcW w:w="982" w:type="dxa"/>
            <w:vAlign w:val="center"/>
          </w:tcPr>
          <w:p w14:paraId="4501B4FF">
            <w:pPr>
              <w:pStyle w:val="31"/>
              <w:spacing w:line="360" w:lineRule="auto"/>
              <w:jc w:val="center"/>
              <w:rPr>
                <w:rFonts w:hint="default"/>
                <w:sz w:val="21"/>
                <w:szCs w:val="21"/>
                <w:highlight w:val="none"/>
              </w:rPr>
            </w:pPr>
            <w:r>
              <w:rPr>
                <w:sz w:val="21"/>
                <w:szCs w:val="21"/>
                <w:highlight w:val="none"/>
              </w:rPr>
              <w:t>预估采购数量</w:t>
            </w:r>
          </w:p>
        </w:tc>
        <w:tc>
          <w:tcPr>
            <w:tcW w:w="1316" w:type="dxa"/>
            <w:vAlign w:val="center"/>
          </w:tcPr>
          <w:p w14:paraId="6D897B5E">
            <w:pPr>
              <w:pStyle w:val="31"/>
              <w:spacing w:line="360" w:lineRule="auto"/>
              <w:jc w:val="center"/>
              <w:rPr>
                <w:rFonts w:hint="default"/>
                <w:color w:val="auto"/>
                <w:sz w:val="21"/>
                <w:szCs w:val="21"/>
                <w:highlight w:val="none"/>
              </w:rPr>
            </w:pPr>
            <w:r>
              <w:rPr>
                <w:color w:val="auto"/>
                <w:sz w:val="21"/>
                <w:szCs w:val="21"/>
                <w:highlight w:val="none"/>
              </w:rPr>
              <w:t>是否属于政府购买服务</w:t>
            </w:r>
          </w:p>
        </w:tc>
      </w:tr>
      <w:tr w14:paraId="6931A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7" w:type="dxa"/>
            <w:vAlign w:val="center"/>
          </w:tcPr>
          <w:p w14:paraId="3C1320C1">
            <w:pPr>
              <w:pStyle w:val="31"/>
              <w:spacing w:line="360" w:lineRule="auto"/>
              <w:jc w:val="center"/>
              <w:rPr>
                <w:rFonts w:hint="default"/>
                <w:sz w:val="21"/>
                <w:szCs w:val="21"/>
                <w:highlight w:val="none"/>
              </w:rPr>
            </w:pPr>
            <w:r>
              <w:rPr>
                <w:sz w:val="21"/>
                <w:szCs w:val="21"/>
                <w:highlight w:val="none"/>
              </w:rPr>
              <w:t>1</w:t>
            </w:r>
          </w:p>
        </w:tc>
        <w:tc>
          <w:tcPr>
            <w:tcW w:w="796" w:type="dxa"/>
            <w:vAlign w:val="center"/>
          </w:tcPr>
          <w:p w14:paraId="44DC6461">
            <w:pPr>
              <w:pStyle w:val="31"/>
              <w:spacing w:line="360" w:lineRule="auto"/>
              <w:jc w:val="center"/>
              <w:rPr>
                <w:rFonts w:hint="default"/>
                <w:sz w:val="21"/>
                <w:szCs w:val="21"/>
                <w:highlight w:val="none"/>
              </w:rPr>
            </w:pPr>
            <w:r>
              <w:rPr>
                <w:sz w:val="21"/>
                <w:szCs w:val="21"/>
                <w:highlight w:val="none"/>
              </w:rPr>
              <w:t>采购包1</w:t>
            </w:r>
          </w:p>
        </w:tc>
        <w:tc>
          <w:tcPr>
            <w:tcW w:w="1749" w:type="dxa"/>
            <w:vAlign w:val="center"/>
          </w:tcPr>
          <w:p w14:paraId="5603B607">
            <w:pPr>
              <w:pStyle w:val="31"/>
              <w:spacing w:line="360" w:lineRule="auto"/>
              <w:jc w:val="center"/>
              <w:rPr>
                <w:rFonts w:hint="eastAsia"/>
                <w:sz w:val="21"/>
                <w:szCs w:val="21"/>
                <w:highlight w:val="none"/>
              </w:rPr>
            </w:pPr>
            <w:r>
              <w:rPr>
                <w:rFonts w:hint="eastAsia"/>
                <w:sz w:val="21"/>
                <w:szCs w:val="21"/>
                <w:highlight w:val="none"/>
              </w:rPr>
              <w:t>概算、预算、财务决算评审服务</w:t>
            </w:r>
          </w:p>
        </w:tc>
        <w:tc>
          <w:tcPr>
            <w:tcW w:w="1118" w:type="dxa"/>
            <w:vAlign w:val="center"/>
          </w:tcPr>
          <w:p w14:paraId="676B0DBF">
            <w:pPr>
              <w:pStyle w:val="31"/>
              <w:spacing w:line="360" w:lineRule="auto"/>
              <w:jc w:val="center"/>
              <w:rPr>
                <w:rFonts w:hint="eastAsia"/>
                <w:sz w:val="21"/>
                <w:szCs w:val="21"/>
                <w:highlight w:val="none"/>
              </w:rPr>
            </w:pPr>
            <w:r>
              <w:rPr>
                <w:rFonts w:hint="eastAsia"/>
                <w:sz w:val="21"/>
                <w:szCs w:val="21"/>
                <w:highlight w:val="none"/>
              </w:rPr>
              <w:t>评审咨询服务</w:t>
            </w:r>
          </w:p>
        </w:tc>
        <w:tc>
          <w:tcPr>
            <w:tcW w:w="641" w:type="dxa"/>
            <w:vAlign w:val="center"/>
          </w:tcPr>
          <w:p w14:paraId="10FB451C">
            <w:pPr>
              <w:pStyle w:val="31"/>
              <w:spacing w:line="360" w:lineRule="auto"/>
              <w:jc w:val="center"/>
              <w:rPr>
                <w:rFonts w:hint="default"/>
                <w:sz w:val="21"/>
                <w:szCs w:val="21"/>
                <w:highlight w:val="none"/>
              </w:rPr>
            </w:pPr>
            <w:r>
              <w:rPr>
                <w:sz w:val="21"/>
                <w:szCs w:val="21"/>
                <w:highlight w:val="none"/>
              </w:rPr>
              <w:t>项</w:t>
            </w:r>
          </w:p>
        </w:tc>
        <w:tc>
          <w:tcPr>
            <w:tcW w:w="1145" w:type="dxa"/>
            <w:vAlign w:val="center"/>
          </w:tcPr>
          <w:p w14:paraId="12970C28">
            <w:pPr>
              <w:pStyle w:val="31"/>
              <w:spacing w:line="360" w:lineRule="auto"/>
              <w:jc w:val="center"/>
              <w:rPr>
                <w:rFonts w:hint="default"/>
                <w:sz w:val="21"/>
                <w:szCs w:val="21"/>
                <w:highlight w:val="none"/>
              </w:rPr>
            </w:pPr>
            <w:r>
              <w:rPr>
                <w:sz w:val="21"/>
                <w:szCs w:val="21"/>
                <w:highlight w:val="none"/>
              </w:rPr>
              <w:t>其他未列明行业</w:t>
            </w:r>
          </w:p>
        </w:tc>
        <w:tc>
          <w:tcPr>
            <w:tcW w:w="982" w:type="dxa"/>
            <w:vAlign w:val="center"/>
          </w:tcPr>
          <w:p w14:paraId="47BA0ADC">
            <w:pPr>
              <w:pStyle w:val="31"/>
              <w:spacing w:line="360" w:lineRule="auto"/>
              <w:jc w:val="center"/>
              <w:rPr>
                <w:rFonts w:hint="default"/>
                <w:sz w:val="21"/>
                <w:szCs w:val="21"/>
                <w:highlight w:val="none"/>
              </w:rPr>
            </w:pPr>
            <w:r>
              <w:rPr>
                <w:sz w:val="21"/>
                <w:szCs w:val="21"/>
                <w:highlight w:val="none"/>
              </w:rPr>
              <w:t>1.0000</w:t>
            </w:r>
          </w:p>
        </w:tc>
        <w:tc>
          <w:tcPr>
            <w:tcW w:w="1316" w:type="dxa"/>
            <w:vAlign w:val="center"/>
          </w:tcPr>
          <w:p w14:paraId="473F79D4">
            <w:pPr>
              <w:pStyle w:val="31"/>
              <w:spacing w:line="360" w:lineRule="auto"/>
              <w:jc w:val="center"/>
              <w:rPr>
                <w:rFonts w:hint="eastAsia"/>
                <w:sz w:val="21"/>
                <w:szCs w:val="21"/>
                <w:highlight w:val="none"/>
                <w:lang w:val="en-US" w:eastAsia="zh-CN"/>
              </w:rPr>
            </w:pPr>
            <w:r>
              <w:rPr>
                <w:rFonts w:hint="eastAsia"/>
                <w:sz w:val="21"/>
                <w:szCs w:val="21"/>
                <w:highlight w:val="none"/>
                <w:lang w:eastAsia="zh-CN"/>
              </w:rPr>
              <w:t>是</w:t>
            </w:r>
          </w:p>
        </w:tc>
      </w:tr>
    </w:tbl>
    <w:p w14:paraId="30E1E920">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default"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技术要求</w:t>
      </w:r>
    </w:p>
    <w:p w14:paraId="65B936D5">
      <w:pPr>
        <w:pStyle w:val="31"/>
        <w:spacing w:line="360" w:lineRule="auto"/>
        <w:rPr>
          <w:rFonts w:hint="default"/>
          <w:sz w:val="21"/>
          <w:szCs w:val="21"/>
          <w:highlight w:val="none"/>
        </w:rPr>
      </w:pPr>
      <w:r>
        <w:rPr>
          <w:sz w:val="21"/>
          <w:szCs w:val="21"/>
          <w:highlight w:val="none"/>
        </w:rPr>
        <w:t>1.分包名称：概算、预算、财务决算评审服务</w:t>
      </w:r>
    </w:p>
    <w:p w14:paraId="0D796ACA">
      <w:pPr>
        <w:pStyle w:val="31"/>
        <w:spacing w:line="360" w:lineRule="auto"/>
        <w:ind w:firstLine="420" w:firstLineChars="200"/>
        <w:rPr>
          <w:rFonts w:hint="default"/>
          <w:sz w:val="21"/>
          <w:szCs w:val="21"/>
          <w:highlight w:val="none"/>
        </w:rPr>
      </w:pPr>
      <w:r>
        <w:rPr>
          <w:sz w:val="21"/>
          <w:szCs w:val="21"/>
          <w:highlight w:val="none"/>
        </w:rPr>
        <w:t>1）标的名称：概算、预算、财务决算评审服务</w:t>
      </w:r>
    </w:p>
    <w:p w14:paraId="06027FF5">
      <w:pPr>
        <w:pStyle w:val="31"/>
        <w:spacing w:line="360" w:lineRule="auto"/>
        <w:ind w:firstLine="420" w:firstLineChars="200"/>
        <w:rPr>
          <w:rFonts w:hint="default"/>
          <w:sz w:val="21"/>
          <w:szCs w:val="21"/>
          <w:highlight w:val="none"/>
        </w:rPr>
      </w:pPr>
      <w:r>
        <w:rPr>
          <w:sz w:val="21"/>
          <w:szCs w:val="21"/>
          <w:highlight w:val="none"/>
        </w:rPr>
        <w:t>2）服务要求：</w:t>
      </w:r>
    </w:p>
    <w:tbl>
      <w:tblPr>
        <w:tblStyle w:val="14"/>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926"/>
        <w:gridCol w:w="988"/>
        <w:gridCol w:w="5675"/>
      </w:tblGrid>
      <w:tr w14:paraId="5893085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vAlign w:val="center"/>
          </w:tcPr>
          <w:p w14:paraId="28F392CD">
            <w:pPr>
              <w:pStyle w:val="31"/>
              <w:spacing w:line="360" w:lineRule="auto"/>
              <w:jc w:val="center"/>
              <w:rPr>
                <w:rFonts w:ascii="宋体" w:hAnsi="宋体"/>
                <w:sz w:val="21"/>
                <w:szCs w:val="21"/>
                <w:highlight w:val="none"/>
              </w:rPr>
            </w:pPr>
            <w:r>
              <w:rPr>
                <w:rFonts w:ascii="宋体" w:hAnsi="宋体"/>
                <w:sz w:val="21"/>
                <w:szCs w:val="21"/>
                <w:highlight w:val="none"/>
              </w:rPr>
              <w:t>序号</w:t>
            </w:r>
          </w:p>
        </w:tc>
        <w:tc>
          <w:tcPr>
            <w:tcW w:w="926" w:type="dxa"/>
            <w:vAlign w:val="center"/>
          </w:tcPr>
          <w:p w14:paraId="2353902D">
            <w:pPr>
              <w:pStyle w:val="31"/>
              <w:spacing w:line="360" w:lineRule="auto"/>
              <w:jc w:val="center"/>
              <w:rPr>
                <w:rFonts w:ascii="宋体" w:hAnsi="宋体"/>
                <w:sz w:val="21"/>
                <w:szCs w:val="21"/>
                <w:highlight w:val="none"/>
              </w:rPr>
            </w:pPr>
            <w:r>
              <w:rPr>
                <w:rFonts w:ascii="宋体" w:hAnsi="宋体"/>
                <w:sz w:val="21"/>
                <w:szCs w:val="21"/>
                <w:highlight w:val="none"/>
              </w:rPr>
              <w:t>服务项类型</w:t>
            </w:r>
          </w:p>
        </w:tc>
        <w:tc>
          <w:tcPr>
            <w:tcW w:w="988" w:type="dxa"/>
            <w:vAlign w:val="center"/>
          </w:tcPr>
          <w:p w14:paraId="57CECFAF">
            <w:pPr>
              <w:pStyle w:val="31"/>
              <w:spacing w:line="360" w:lineRule="auto"/>
              <w:jc w:val="center"/>
              <w:rPr>
                <w:rFonts w:ascii="宋体" w:hAnsi="宋体"/>
                <w:sz w:val="21"/>
                <w:szCs w:val="21"/>
                <w:highlight w:val="none"/>
              </w:rPr>
            </w:pPr>
            <w:r>
              <w:rPr>
                <w:rFonts w:ascii="宋体" w:hAnsi="宋体"/>
                <w:sz w:val="21"/>
                <w:szCs w:val="21"/>
                <w:highlight w:val="none"/>
              </w:rPr>
              <w:t>服务项名称</w:t>
            </w:r>
          </w:p>
        </w:tc>
        <w:tc>
          <w:tcPr>
            <w:tcW w:w="5675" w:type="dxa"/>
            <w:vAlign w:val="center"/>
          </w:tcPr>
          <w:p w14:paraId="34025566">
            <w:pPr>
              <w:pStyle w:val="31"/>
              <w:spacing w:line="360" w:lineRule="auto"/>
              <w:jc w:val="center"/>
              <w:rPr>
                <w:rFonts w:ascii="宋体" w:hAnsi="宋体"/>
                <w:sz w:val="21"/>
                <w:szCs w:val="21"/>
                <w:highlight w:val="none"/>
              </w:rPr>
            </w:pPr>
            <w:r>
              <w:rPr>
                <w:rFonts w:ascii="宋体" w:hAnsi="宋体"/>
                <w:sz w:val="21"/>
                <w:szCs w:val="21"/>
                <w:highlight w:val="none"/>
              </w:rPr>
              <w:t>服务项对应描述</w:t>
            </w:r>
          </w:p>
        </w:tc>
      </w:tr>
      <w:tr w14:paraId="6010902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tcPr>
          <w:p w14:paraId="1BB2D23C">
            <w:pPr>
              <w:pStyle w:val="31"/>
              <w:spacing w:line="360" w:lineRule="auto"/>
              <w:rPr>
                <w:rFonts w:ascii="宋体" w:hAnsi="宋体"/>
                <w:sz w:val="21"/>
                <w:szCs w:val="21"/>
                <w:highlight w:val="none"/>
              </w:rPr>
            </w:pPr>
            <w:r>
              <w:rPr>
                <w:rFonts w:ascii="宋体" w:hAnsi="宋体"/>
                <w:sz w:val="21"/>
                <w:szCs w:val="21"/>
                <w:highlight w:val="none"/>
              </w:rPr>
              <w:t>1</w:t>
            </w:r>
          </w:p>
        </w:tc>
        <w:tc>
          <w:tcPr>
            <w:tcW w:w="926" w:type="dxa"/>
          </w:tcPr>
          <w:p w14:paraId="3638143A">
            <w:pPr>
              <w:pStyle w:val="31"/>
              <w:spacing w:line="360" w:lineRule="auto"/>
              <w:rPr>
                <w:rFonts w:ascii="宋体" w:hAnsi="宋体"/>
                <w:sz w:val="21"/>
                <w:szCs w:val="21"/>
                <w:highlight w:val="none"/>
              </w:rPr>
            </w:pPr>
            <w:r>
              <w:rPr>
                <w:rFonts w:ascii="宋体" w:hAnsi="宋体"/>
                <w:sz w:val="21"/>
                <w:szCs w:val="21"/>
                <w:highlight w:val="none"/>
              </w:rPr>
              <w:t>服务内容</w:t>
            </w:r>
          </w:p>
        </w:tc>
        <w:tc>
          <w:tcPr>
            <w:tcW w:w="988" w:type="dxa"/>
          </w:tcPr>
          <w:p w14:paraId="206CB30A">
            <w:pPr>
              <w:pStyle w:val="31"/>
              <w:spacing w:line="360" w:lineRule="auto"/>
              <w:rPr>
                <w:rFonts w:ascii="宋体" w:hAnsi="宋体"/>
                <w:sz w:val="21"/>
                <w:szCs w:val="21"/>
                <w:highlight w:val="none"/>
              </w:rPr>
            </w:pPr>
            <w:r>
              <w:rPr>
                <w:rFonts w:ascii="宋体" w:hAnsi="宋体"/>
                <w:sz w:val="21"/>
                <w:szCs w:val="21"/>
                <w:highlight w:val="none"/>
              </w:rPr>
              <w:t>框架协议的两阶段</w:t>
            </w:r>
          </w:p>
        </w:tc>
        <w:tc>
          <w:tcPr>
            <w:tcW w:w="5675" w:type="dxa"/>
          </w:tcPr>
          <w:p w14:paraId="051D426E">
            <w:pPr>
              <w:pStyle w:val="31"/>
              <w:spacing w:line="360" w:lineRule="auto"/>
              <w:rPr>
                <w:rFonts w:ascii="宋体" w:hAnsi="宋体"/>
                <w:sz w:val="21"/>
                <w:szCs w:val="21"/>
                <w:highlight w:val="none"/>
              </w:rPr>
            </w:pPr>
            <w:r>
              <w:rPr>
                <w:rFonts w:ascii="宋体" w:hAnsi="宋体"/>
                <w:sz w:val="21"/>
                <w:szCs w:val="21"/>
                <w:highlight w:val="none"/>
              </w:rPr>
              <w:t>1．确定第一阶段入围供应商的评审方法及淘汰率</w:t>
            </w:r>
          </w:p>
          <w:p w14:paraId="4E8A277D">
            <w:pPr>
              <w:pStyle w:val="31"/>
              <w:spacing w:line="360" w:lineRule="auto"/>
              <w:rPr>
                <w:rFonts w:ascii="宋体" w:hAnsi="宋体"/>
                <w:sz w:val="21"/>
                <w:szCs w:val="21"/>
                <w:highlight w:val="none"/>
              </w:rPr>
            </w:pPr>
            <w:r>
              <w:rPr>
                <w:rFonts w:ascii="宋体" w:hAnsi="宋体"/>
                <w:sz w:val="21"/>
                <w:szCs w:val="21"/>
                <w:highlight w:val="none"/>
              </w:rPr>
              <w:t>根据《政府采购框架协议采购方式管理暂行办法》，本次采购采用“封闭式框架协议”“质量优先” 评审标准，公开采购确定入围供应商时有竞争和淘汰，淘汰比例不低于20％。在封闭式框架协议有效期内，除经框架协议约定的补充征集程序外，不随意增加协议供应商，入围供应商无正当理由不允许退出。</w:t>
            </w:r>
          </w:p>
          <w:p w14:paraId="2519C2B9">
            <w:pPr>
              <w:pStyle w:val="31"/>
              <w:spacing w:line="360" w:lineRule="auto"/>
              <w:rPr>
                <w:rFonts w:ascii="宋体" w:hAnsi="宋体"/>
                <w:sz w:val="21"/>
                <w:szCs w:val="21"/>
                <w:highlight w:val="none"/>
              </w:rPr>
            </w:pPr>
            <w:r>
              <w:rPr>
                <w:rFonts w:ascii="宋体" w:hAnsi="宋体"/>
                <w:sz w:val="21"/>
                <w:szCs w:val="21"/>
                <w:highlight w:val="none"/>
              </w:rPr>
              <w:t>2．确定第二阶段成交供应商的方法</w:t>
            </w:r>
          </w:p>
          <w:p w14:paraId="685004A7">
            <w:pPr>
              <w:pStyle w:val="31"/>
              <w:spacing w:line="360" w:lineRule="auto"/>
              <w:rPr>
                <w:rFonts w:ascii="宋体" w:hAnsi="宋体"/>
                <w:sz w:val="21"/>
                <w:szCs w:val="21"/>
                <w:highlight w:val="none"/>
              </w:rPr>
            </w:pPr>
            <w:r>
              <w:rPr>
                <w:rFonts w:ascii="宋体" w:hAnsi="宋体"/>
                <w:sz w:val="21"/>
                <w:szCs w:val="21"/>
                <w:highlight w:val="none"/>
              </w:rPr>
              <w:t>由采购人依据供应商的服务质量、服务便利性、用户评价及考核评估结果从第一阶段的入围供应商中采用“直接选定”方式确定第二阶段成交供应商。</w:t>
            </w:r>
          </w:p>
          <w:p w14:paraId="60CF6584">
            <w:pPr>
              <w:pStyle w:val="31"/>
              <w:spacing w:line="360" w:lineRule="auto"/>
              <w:rPr>
                <w:rFonts w:ascii="宋体" w:hAnsi="宋体"/>
                <w:sz w:val="21"/>
                <w:szCs w:val="21"/>
                <w:highlight w:val="none"/>
              </w:rPr>
            </w:pPr>
            <w:r>
              <w:rPr>
                <w:rFonts w:ascii="宋体" w:hAnsi="宋体"/>
                <w:sz w:val="21"/>
                <w:szCs w:val="21"/>
                <w:highlight w:val="none"/>
              </w:rPr>
              <w:t>★3．风险控制：</w:t>
            </w:r>
          </w:p>
          <w:p w14:paraId="0F76538B">
            <w:pPr>
              <w:pStyle w:val="31"/>
              <w:spacing w:line="360" w:lineRule="auto"/>
              <w:rPr>
                <w:rFonts w:ascii="宋体" w:hAnsi="宋体"/>
                <w:sz w:val="21"/>
                <w:szCs w:val="21"/>
                <w:highlight w:val="none"/>
              </w:rPr>
            </w:pPr>
            <w:r>
              <w:rPr>
                <w:rFonts w:ascii="宋体" w:hAnsi="宋体"/>
                <w:sz w:val="21"/>
                <w:szCs w:val="21"/>
                <w:highlight w:val="none"/>
              </w:rPr>
              <w:t>征集人不保证入围供应商具体承担的项目数量，也无法预计和保证其在期限内所能获取的工作量，并且无法估计期限内的项目规模和资金到位情况。供应商应充分考虑经营风险，并提供优质的服务以提高自身的竞争力。（响应供应商提供承诺函，格式自拟）</w:t>
            </w:r>
          </w:p>
          <w:p w14:paraId="496FC620">
            <w:pPr>
              <w:pStyle w:val="31"/>
              <w:spacing w:line="360" w:lineRule="auto"/>
              <w:rPr>
                <w:rFonts w:ascii="宋体" w:hAnsi="宋体"/>
                <w:sz w:val="21"/>
                <w:szCs w:val="21"/>
                <w:highlight w:val="none"/>
              </w:rPr>
            </w:pPr>
            <w:r>
              <w:rPr>
                <w:rFonts w:ascii="宋体" w:hAnsi="宋体"/>
                <w:sz w:val="21"/>
                <w:szCs w:val="21"/>
                <w:highlight w:val="none"/>
              </w:rPr>
              <w:t>框架协议签订时间：征集人在入围通知书发出之日起30日内和入围供应商签订框架协议，并在框架协议签订后7个工作日内，通过智慧云平台将框架协议报本级财政部门备案。框架协议不得对征集文件确定的事项以及入围供应商的响应文件作实质性修改。</w:t>
            </w:r>
          </w:p>
        </w:tc>
      </w:tr>
      <w:tr w14:paraId="2D6F990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tcPr>
          <w:p w14:paraId="76779397">
            <w:pPr>
              <w:pStyle w:val="31"/>
              <w:spacing w:line="360" w:lineRule="auto"/>
              <w:rPr>
                <w:rFonts w:ascii="宋体" w:hAnsi="宋体"/>
                <w:sz w:val="21"/>
                <w:szCs w:val="21"/>
                <w:highlight w:val="none"/>
              </w:rPr>
            </w:pPr>
            <w:r>
              <w:rPr>
                <w:rFonts w:ascii="宋体" w:hAnsi="宋体"/>
                <w:sz w:val="21"/>
                <w:szCs w:val="21"/>
                <w:highlight w:val="none"/>
              </w:rPr>
              <w:t>2</w:t>
            </w:r>
          </w:p>
        </w:tc>
        <w:tc>
          <w:tcPr>
            <w:tcW w:w="926" w:type="dxa"/>
          </w:tcPr>
          <w:p w14:paraId="6465FD1E">
            <w:pPr>
              <w:pStyle w:val="31"/>
              <w:spacing w:line="360" w:lineRule="auto"/>
              <w:rPr>
                <w:rFonts w:ascii="宋体" w:hAnsi="宋体"/>
                <w:sz w:val="21"/>
                <w:szCs w:val="21"/>
                <w:highlight w:val="none"/>
              </w:rPr>
            </w:pPr>
            <w:r>
              <w:rPr>
                <w:rFonts w:ascii="宋体" w:hAnsi="宋体"/>
                <w:sz w:val="21"/>
                <w:szCs w:val="21"/>
                <w:highlight w:val="none"/>
              </w:rPr>
              <w:t>服务内容</w:t>
            </w:r>
          </w:p>
        </w:tc>
        <w:tc>
          <w:tcPr>
            <w:tcW w:w="988" w:type="dxa"/>
          </w:tcPr>
          <w:p w14:paraId="37AC4C14">
            <w:pPr>
              <w:pStyle w:val="31"/>
              <w:spacing w:line="360" w:lineRule="auto"/>
              <w:rPr>
                <w:rFonts w:ascii="宋体" w:hAnsi="宋体"/>
                <w:sz w:val="21"/>
                <w:szCs w:val="21"/>
                <w:highlight w:val="none"/>
              </w:rPr>
            </w:pPr>
            <w:r>
              <w:rPr>
                <w:rFonts w:ascii="宋体" w:hAnsi="宋体"/>
                <w:sz w:val="21"/>
                <w:szCs w:val="21"/>
                <w:highlight w:val="none"/>
              </w:rPr>
              <w:t>评审服务费的计算方式</w:t>
            </w:r>
          </w:p>
        </w:tc>
        <w:tc>
          <w:tcPr>
            <w:tcW w:w="5675" w:type="dxa"/>
          </w:tcPr>
          <w:p w14:paraId="67EF6F7C">
            <w:pPr>
              <w:pStyle w:val="31"/>
              <w:spacing w:line="360" w:lineRule="auto"/>
              <w:rPr>
                <w:rFonts w:ascii="宋体" w:hAnsi="宋体"/>
                <w:sz w:val="21"/>
                <w:szCs w:val="21"/>
                <w:highlight w:val="none"/>
              </w:rPr>
            </w:pPr>
            <w:r>
              <w:rPr>
                <w:rFonts w:ascii="宋体" w:hAnsi="宋体"/>
                <w:sz w:val="21"/>
                <w:szCs w:val="21"/>
                <w:highlight w:val="none"/>
              </w:rPr>
              <w:t>1、计费基准数。评审费用计费基准数为评审项目</w:t>
            </w:r>
            <w:r>
              <w:rPr>
                <w:rFonts w:hint="eastAsia" w:ascii="宋体" w:hAnsi="宋体"/>
                <w:sz w:val="21"/>
                <w:szCs w:val="21"/>
                <w:highlight w:val="none"/>
                <w:lang w:val="en-US" w:eastAsia="zh-CN"/>
              </w:rPr>
              <w:t>审定价</w:t>
            </w:r>
            <w:r>
              <w:rPr>
                <w:rFonts w:ascii="宋体" w:hAnsi="宋体"/>
                <w:sz w:val="21"/>
                <w:szCs w:val="21"/>
                <w:highlight w:val="none"/>
              </w:rPr>
              <w:t>。</w:t>
            </w:r>
          </w:p>
          <w:p w14:paraId="6794C82E">
            <w:pPr>
              <w:pStyle w:val="31"/>
              <w:spacing w:line="360" w:lineRule="auto"/>
              <w:rPr>
                <w:rFonts w:ascii="宋体" w:hAnsi="宋体"/>
                <w:sz w:val="21"/>
                <w:szCs w:val="21"/>
                <w:highlight w:val="none"/>
              </w:rPr>
            </w:pPr>
            <w:r>
              <w:rPr>
                <w:rFonts w:ascii="宋体" w:hAnsi="宋体"/>
                <w:sz w:val="21"/>
                <w:szCs w:val="21"/>
                <w:highlight w:val="none"/>
              </w:rPr>
              <w:t>2．预算评审类项目（含信息化项目）：预算评审服务费=计费基准价（见附件1、附件3）*报价折扣率；</w:t>
            </w:r>
          </w:p>
          <w:p w14:paraId="51D06846">
            <w:pPr>
              <w:pStyle w:val="31"/>
              <w:spacing w:line="360" w:lineRule="auto"/>
              <w:rPr>
                <w:rFonts w:ascii="宋体" w:hAnsi="宋体"/>
                <w:sz w:val="21"/>
                <w:szCs w:val="21"/>
                <w:highlight w:val="none"/>
              </w:rPr>
            </w:pPr>
            <w:r>
              <w:rPr>
                <w:rFonts w:ascii="宋体" w:hAnsi="宋体"/>
                <w:sz w:val="21"/>
                <w:szCs w:val="21"/>
                <w:highlight w:val="none"/>
              </w:rPr>
              <w:t>3．概算评审类项目：概算评审服务费=计费基准价（见附件1）*报价折扣率；</w:t>
            </w:r>
          </w:p>
          <w:p w14:paraId="433D1DEC">
            <w:pPr>
              <w:pStyle w:val="31"/>
              <w:spacing w:line="360" w:lineRule="auto"/>
              <w:rPr>
                <w:rFonts w:ascii="宋体" w:hAnsi="宋体"/>
                <w:sz w:val="21"/>
                <w:szCs w:val="21"/>
                <w:highlight w:val="none"/>
              </w:rPr>
            </w:pPr>
            <w:r>
              <w:rPr>
                <w:rFonts w:ascii="宋体" w:hAnsi="宋体"/>
                <w:sz w:val="21"/>
                <w:szCs w:val="21"/>
                <w:highlight w:val="none"/>
              </w:rPr>
              <w:t>4．项目竣工财务决算评审类项目：项目竣工财务决算评审服务费=计费基准价（见附件2）*报价折扣率。</w:t>
            </w:r>
          </w:p>
          <w:p w14:paraId="004E42E8">
            <w:pPr>
              <w:pStyle w:val="31"/>
              <w:spacing w:line="360" w:lineRule="auto"/>
              <w:rPr>
                <w:highlight w:val="none"/>
              </w:rPr>
            </w:pPr>
            <w:r>
              <w:rPr>
                <w:rFonts w:ascii="宋体" w:hAnsi="宋体"/>
                <w:sz w:val="21"/>
                <w:szCs w:val="21"/>
                <w:highlight w:val="none"/>
              </w:rPr>
              <w:t>5．评审服务费最低付费额：单项概算预算按收费标准计算的付费金额不足</w:t>
            </w:r>
            <w:r>
              <w:rPr>
                <w:rFonts w:hint="default" w:ascii="宋体" w:hAnsi="宋体"/>
                <w:sz w:val="21"/>
                <w:szCs w:val="21"/>
                <w:highlight w:val="none"/>
              </w:rPr>
              <w:t>1500</w:t>
            </w:r>
            <w:r>
              <w:rPr>
                <w:rFonts w:ascii="宋体" w:hAnsi="宋体"/>
                <w:sz w:val="21"/>
                <w:szCs w:val="21"/>
                <w:highlight w:val="none"/>
              </w:rPr>
              <w:t>元的按</w:t>
            </w:r>
            <w:r>
              <w:rPr>
                <w:rFonts w:hint="default" w:ascii="宋体" w:hAnsi="宋体"/>
                <w:sz w:val="21"/>
                <w:szCs w:val="21"/>
                <w:highlight w:val="none"/>
              </w:rPr>
              <w:t>1500</w:t>
            </w:r>
            <w:r>
              <w:rPr>
                <w:rFonts w:ascii="宋体" w:hAnsi="宋体"/>
                <w:sz w:val="21"/>
                <w:szCs w:val="21"/>
                <w:highlight w:val="none"/>
              </w:rPr>
              <w:t>元计算。</w:t>
            </w:r>
          </w:p>
          <w:p w14:paraId="1AB1AE12">
            <w:pPr>
              <w:pStyle w:val="31"/>
              <w:spacing w:line="360" w:lineRule="auto"/>
              <w:rPr>
                <w:rFonts w:hint="eastAsia" w:ascii="宋体" w:hAnsi="宋体"/>
                <w:sz w:val="21"/>
                <w:szCs w:val="21"/>
                <w:highlight w:val="none"/>
                <w:lang w:val="en-US" w:eastAsia="zh-CN"/>
              </w:rPr>
            </w:pPr>
            <w:r>
              <w:rPr>
                <w:rFonts w:hint="eastAsia"/>
                <w:highlight w:val="none"/>
                <w:lang w:val="en-US" w:eastAsia="zh-CN"/>
              </w:rPr>
              <w:t>6、注：</w:t>
            </w:r>
            <w:r>
              <w:rPr>
                <w:rFonts w:ascii="宋体" w:hAnsi="宋体"/>
                <w:sz w:val="21"/>
                <w:szCs w:val="21"/>
                <w:highlight w:val="none"/>
              </w:rPr>
              <w:t>预算评审类项目</w:t>
            </w:r>
            <w:r>
              <w:rPr>
                <w:rFonts w:hint="eastAsia" w:ascii="宋体" w:hAnsi="宋体"/>
                <w:sz w:val="21"/>
                <w:szCs w:val="21"/>
                <w:highlight w:val="none"/>
                <w:lang w:eastAsia="zh-CN"/>
              </w:rPr>
              <w:t>、</w:t>
            </w:r>
            <w:r>
              <w:rPr>
                <w:rFonts w:ascii="宋体" w:hAnsi="宋体"/>
                <w:sz w:val="21"/>
                <w:szCs w:val="21"/>
                <w:highlight w:val="none"/>
              </w:rPr>
              <w:t>概算评审类项目</w:t>
            </w:r>
            <w:r>
              <w:rPr>
                <w:rFonts w:hint="eastAsia" w:ascii="宋体" w:hAnsi="宋体"/>
                <w:sz w:val="21"/>
                <w:szCs w:val="21"/>
                <w:highlight w:val="none"/>
                <w:lang w:eastAsia="zh-CN"/>
              </w:rPr>
              <w:t>、</w:t>
            </w:r>
            <w:r>
              <w:rPr>
                <w:rFonts w:ascii="宋体" w:hAnsi="宋体"/>
                <w:sz w:val="21"/>
                <w:szCs w:val="21"/>
                <w:highlight w:val="none"/>
              </w:rPr>
              <w:t>项目竣工财务决算评审类项目</w:t>
            </w:r>
            <w:r>
              <w:rPr>
                <w:rFonts w:hint="eastAsia" w:ascii="宋体" w:hAnsi="宋体"/>
                <w:sz w:val="21"/>
                <w:szCs w:val="21"/>
                <w:highlight w:val="none"/>
                <w:lang w:val="en-US" w:eastAsia="zh-CN"/>
              </w:rPr>
              <w:t>中的折扣率均指如果供应商报价时报出的统一折扣率。</w:t>
            </w:r>
          </w:p>
          <w:p w14:paraId="765E5435">
            <w:pPr>
              <w:pStyle w:val="31"/>
              <w:spacing w:line="360" w:lineRule="auto"/>
              <w:rPr>
                <w:rFonts w:hint="default" w:ascii="宋体" w:hAnsi="宋体"/>
                <w:sz w:val="21"/>
                <w:szCs w:val="21"/>
                <w:highlight w:val="none"/>
                <w:lang w:val="en-US" w:eastAsia="zh-CN"/>
              </w:rPr>
            </w:pPr>
          </w:p>
        </w:tc>
      </w:tr>
      <w:tr w14:paraId="5ED3B14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tcPr>
          <w:p w14:paraId="2D4E1C4D">
            <w:pPr>
              <w:pStyle w:val="31"/>
              <w:spacing w:line="360" w:lineRule="auto"/>
              <w:rPr>
                <w:rFonts w:ascii="宋体" w:hAnsi="宋体"/>
                <w:sz w:val="21"/>
                <w:szCs w:val="21"/>
                <w:highlight w:val="none"/>
              </w:rPr>
            </w:pPr>
            <w:r>
              <w:rPr>
                <w:rFonts w:ascii="宋体" w:hAnsi="宋体"/>
                <w:sz w:val="21"/>
                <w:szCs w:val="21"/>
                <w:highlight w:val="none"/>
              </w:rPr>
              <w:t>3</w:t>
            </w:r>
          </w:p>
        </w:tc>
        <w:tc>
          <w:tcPr>
            <w:tcW w:w="926" w:type="dxa"/>
          </w:tcPr>
          <w:p w14:paraId="28A07464">
            <w:pPr>
              <w:pStyle w:val="31"/>
              <w:spacing w:line="360" w:lineRule="auto"/>
              <w:rPr>
                <w:rFonts w:ascii="宋体" w:hAnsi="宋体"/>
                <w:sz w:val="21"/>
                <w:szCs w:val="21"/>
                <w:highlight w:val="none"/>
              </w:rPr>
            </w:pPr>
            <w:r>
              <w:rPr>
                <w:rFonts w:ascii="宋体" w:hAnsi="宋体"/>
                <w:sz w:val="21"/>
                <w:szCs w:val="21"/>
                <w:highlight w:val="none"/>
              </w:rPr>
              <w:t>服务内容</w:t>
            </w:r>
          </w:p>
        </w:tc>
        <w:tc>
          <w:tcPr>
            <w:tcW w:w="988" w:type="dxa"/>
          </w:tcPr>
          <w:p w14:paraId="2E9DDF92">
            <w:pPr>
              <w:pStyle w:val="31"/>
              <w:spacing w:line="360" w:lineRule="auto"/>
              <w:rPr>
                <w:rFonts w:ascii="宋体" w:hAnsi="宋体"/>
                <w:sz w:val="21"/>
                <w:szCs w:val="21"/>
                <w:highlight w:val="none"/>
              </w:rPr>
            </w:pPr>
            <w:r>
              <w:rPr>
                <w:rFonts w:ascii="宋体" w:hAnsi="宋体"/>
                <w:sz w:val="21"/>
                <w:szCs w:val="21"/>
                <w:highlight w:val="none"/>
              </w:rPr>
              <w:t>服务要求（概算、预算、财务决算评审服务）</w:t>
            </w:r>
          </w:p>
        </w:tc>
        <w:tc>
          <w:tcPr>
            <w:tcW w:w="5675" w:type="dxa"/>
          </w:tcPr>
          <w:p w14:paraId="7996A333">
            <w:pPr>
              <w:pStyle w:val="31"/>
              <w:spacing w:line="360" w:lineRule="auto"/>
              <w:rPr>
                <w:rFonts w:ascii="宋体" w:hAnsi="宋体"/>
                <w:sz w:val="21"/>
                <w:szCs w:val="21"/>
                <w:highlight w:val="none"/>
              </w:rPr>
            </w:pPr>
            <w:r>
              <w:rPr>
                <w:rFonts w:ascii="宋体" w:hAnsi="宋体"/>
                <w:sz w:val="21"/>
                <w:szCs w:val="21"/>
                <w:highlight w:val="none"/>
              </w:rPr>
              <w:t>1．对掌握政策的要求：应熟悉国家、省、市、区有关部门关于财政投资评审、工程项目造价管理方面的法律、法规及相关政策，并有一定的工程概算、预算和财务决算评审经验（包括但不限于建筑工程（含装饰、安装等）概算、预算和财务决算项目财政投资评审，市政工程概算、预算和财务决算项目财政投资评审，公路工程概算、预算和财务决算项目财政投资评审，水利工程概算、预算和财务决算项目财政投资评审，土地开发整理工程概算、预算和财务决算项目财政投资评审，港口航运疏浚工程概算、预算和财务决算项目财政投资评审等工作经验）。</w:t>
            </w:r>
          </w:p>
          <w:p w14:paraId="22FFE074">
            <w:pPr>
              <w:pStyle w:val="31"/>
              <w:spacing w:line="360" w:lineRule="auto"/>
              <w:rPr>
                <w:rFonts w:ascii="宋体" w:hAnsi="宋体"/>
                <w:sz w:val="21"/>
                <w:szCs w:val="21"/>
                <w:highlight w:val="none"/>
              </w:rPr>
            </w:pPr>
            <w:r>
              <w:rPr>
                <w:rFonts w:ascii="宋体" w:hAnsi="宋体"/>
                <w:sz w:val="21"/>
                <w:szCs w:val="21"/>
                <w:highlight w:val="none"/>
              </w:rPr>
              <w:t>2．入围供应商应根据有关规定，本着为政府节约投资的原则，科学、客观、公正地开展评审工作；同时按财政部门的要求，按时按质提供评审报告，对报告的真实性、准确性负责，并负有保密责任。</w:t>
            </w:r>
          </w:p>
          <w:p w14:paraId="4D527E9B">
            <w:pPr>
              <w:pStyle w:val="31"/>
              <w:spacing w:line="360" w:lineRule="auto"/>
              <w:rPr>
                <w:rFonts w:ascii="宋体" w:hAnsi="宋体"/>
                <w:sz w:val="21"/>
                <w:szCs w:val="21"/>
                <w:highlight w:val="none"/>
              </w:rPr>
            </w:pPr>
            <w:r>
              <w:rPr>
                <w:rFonts w:ascii="宋体" w:hAnsi="宋体"/>
                <w:sz w:val="21"/>
                <w:szCs w:val="21"/>
                <w:highlight w:val="none"/>
              </w:rPr>
              <w:t>3．应满足以下要求或可提供更优的条件：a）拥有足够的人力，财力和服务能力等资源保证按时按质按量完成委托的建设工程概算、预算和财务决算；所有因为评审工作产生的费用开支（含差旅费等）均由入围供应商自理； b）具有丰富的工程概算、预算和财务决算评审经验的评审技术人员，独立完成评审。 c）按照财政部门规定的统一程序、标准进行评审，并提交统一规范的评审报告。</w:t>
            </w:r>
          </w:p>
          <w:p w14:paraId="70CFF08C">
            <w:pPr>
              <w:pStyle w:val="31"/>
              <w:spacing w:line="360" w:lineRule="auto"/>
              <w:rPr>
                <w:rFonts w:ascii="宋体" w:hAnsi="宋体"/>
                <w:sz w:val="21"/>
                <w:szCs w:val="21"/>
                <w:highlight w:val="none"/>
              </w:rPr>
            </w:pPr>
            <w:r>
              <w:rPr>
                <w:rFonts w:ascii="宋体" w:hAnsi="宋体"/>
                <w:sz w:val="21"/>
                <w:szCs w:val="21"/>
                <w:highlight w:val="none"/>
              </w:rPr>
              <w:t>4．入围供应商须按照征集人规定的时间内完成委托的服务项目。</w:t>
            </w:r>
          </w:p>
          <w:p w14:paraId="744C2ECE">
            <w:pPr>
              <w:pStyle w:val="31"/>
              <w:spacing w:line="360" w:lineRule="auto"/>
              <w:rPr>
                <w:rFonts w:ascii="宋体" w:hAnsi="宋体"/>
                <w:sz w:val="21"/>
                <w:szCs w:val="21"/>
                <w:highlight w:val="none"/>
              </w:rPr>
            </w:pPr>
            <w:r>
              <w:rPr>
                <w:rFonts w:ascii="宋体" w:hAnsi="宋体"/>
                <w:sz w:val="21"/>
                <w:szCs w:val="21"/>
                <w:highlight w:val="none"/>
              </w:rPr>
              <w:t>5．入围供应商须独立完成征集人委托的评审业务，不得将评审任务部分或整体转让第三方完成，保证项目资料的完整，不得遗失、损坏项目资料，并按征集人的要求按期做好已完结项目的相关资料移交和归档工作。未经征集人</w:t>
            </w:r>
            <w:r>
              <w:rPr>
                <w:rFonts w:hint="eastAsia" w:ascii="宋体" w:hAnsi="宋体"/>
                <w:sz w:val="21"/>
                <w:szCs w:val="21"/>
                <w:highlight w:val="none"/>
                <w:lang w:val="en-US" w:eastAsia="zh-CN"/>
              </w:rPr>
              <w:t>事前书面</w:t>
            </w:r>
            <w:r>
              <w:rPr>
                <w:rFonts w:ascii="宋体" w:hAnsi="宋体"/>
                <w:sz w:val="21"/>
                <w:szCs w:val="21"/>
                <w:highlight w:val="none"/>
              </w:rPr>
              <w:t>同意，不得以任何形式向任何单位或个人披露评审项目有关的信息，不得对外提供、泄露评审有关情况。</w:t>
            </w:r>
          </w:p>
          <w:p w14:paraId="29AC9018">
            <w:pPr>
              <w:pStyle w:val="31"/>
              <w:spacing w:line="360" w:lineRule="auto"/>
              <w:rPr>
                <w:rFonts w:ascii="宋体" w:hAnsi="宋体"/>
                <w:sz w:val="21"/>
                <w:szCs w:val="21"/>
                <w:highlight w:val="none"/>
              </w:rPr>
            </w:pPr>
            <w:r>
              <w:rPr>
                <w:rFonts w:ascii="宋体" w:hAnsi="宋体"/>
                <w:sz w:val="21"/>
                <w:szCs w:val="21"/>
                <w:highlight w:val="none"/>
              </w:rPr>
              <w:t>6．服务响应要求：入围供应商能够在接到通知后8小时内上门办理承接委托事宜。</w:t>
            </w:r>
          </w:p>
          <w:p w14:paraId="5C20BAEA">
            <w:pPr>
              <w:pStyle w:val="31"/>
              <w:spacing w:line="360" w:lineRule="auto"/>
              <w:rPr>
                <w:rFonts w:ascii="宋体" w:hAnsi="宋体"/>
                <w:sz w:val="21"/>
                <w:szCs w:val="21"/>
                <w:highlight w:val="none"/>
              </w:rPr>
            </w:pPr>
            <w:r>
              <w:rPr>
                <w:rFonts w:ascii="宋体" w:hAnsi="宋体"/>
                <w:sz w:val="21"/>
                <w:szCs w:val="21"/>
                <w:highlight w:val="none"/>
              </w:rPr>
              <w:t xml:space="preserve">7．要合理体现征集人控制项目投资的要求。 </w:t>
            </w:r>
          </w:p>
          <w:p w14:paraId="6EAF86CF">
            <w:pPr>
              <w:pStyle w:val="31"/>
              <w:spacing w:line="360" w:lineRule="auto"/>
              <w:rPr>
                <w:rFonts w:ascii="宋体" w:hAnsi="宋体"/>
                <w:sz w:val="21"/>
                <w:szCs w:val="21"/>
                <w:highlight w:val="none"/>
              </w:rPr>
            </w:pPr>
            <w:r>
              <w:rPr>
                <w:rFonts w:ascii="宋体" w:hAnsi="宋体"/>
                <w:sz w:val="21"/>
                <w:szCs w:val="21"/>
                <w:highlight w:val="none"/>
              </w:rPr>
              <w:t>8．若征集人对所完成的委托服务项目的质量及时间不满意（未能达到委托服务合同要求的深度），则有权发出警告信给成交供应商并取消其对该项目的委托资格。</w:t>
            </w:r>
          </w:p>
        </w:tc>
      </w:tr>
      <w:tr w14:paraId="19B57B1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tcPr>
          <w:p w14:paraId="7A45CBC8">
            <w:pPr>
              <w:pStyle w:val="31"/>
              <w:spacing w:line="360" w:lineRule="auto"/>
              <w:rPr>
                <w:rFonts w:ascii="宋体" w:hAnsi="宋体"/>
                <w:sz w:val="21"/>
                <w:szCs w:val="21"/>
                <w:highlight w:val="none"/>
              </w:rPr>
            </w:pPr>
            <w:r>
              <w:rPr>
                <w:rFonts w:ascii="宋体" w:hAnsi="宋体"/>
                <w:sz w:val="21"/>
                <w:szCs w:val="21"/>
                <w:highlight w:val="none"/>
              </w:rPr>
              <w:t>4</w:t>
            </w:r>
          </w:p>
        </w:tc>
        <w:tc>
          <w:tcPr>
            <w:tcW w:w="926" w:type="dxa"/>
          </w:tcPr>
          <w:p w14:paraId="62A7BEAD">
            <w:pPr>
              <w:pStyle w:val="31"/>
              <w:spacing w:line="360" w:lineRule="auto"/>
              <w:rPr>
                <w:rFonts w:ascii="宋体" w:hAnsi="宋体"/>
                <w:sz w:val="21"/>
                <w:szCs w:val="21"/>
                <w:highlight w:val="none"/>
              </w:rPr>
            </w:pPr>
            <w:r>
              <w:rPr>
                <w:rFonts w:ascii="宋体" w:hAnsi="宋体"/>
                <w:sz w:val="21"/>
                <w:szCs w:val="21"/>
                <w:highlight w:val="none"/>
              </w:rPr>
              <w:t>服务内容</w:t>
            </w:r>
          </w:p>
        </w:tc>
        <w:tc>
          <w:tcPr>
            <w:tcW w:w="988" w:type="dxa"/>
          </w:tcPr>
          <w:p w14:paraId="584AD8F9">
            <w:pPr>
              <w:pStyle w:val="31"/>
              <w:spacing w:line="360" w:lineRule="auto"/>
              <w:rPr>
                <w:rFonts w:ascii="宋体" w:hAnsi="宋体"/>
                <w:sz w:val="21"/>
                <w:szCs w:val="21"/>
                <w:highlight w:val="none"/>
              </w:rPr>
            </w:pPr>
            <w:r>
              <w:rPr>
                <w:rFonts w:ascii="宋体" w:hAnsi="宋体"/>
                <w:sz w:val="21"/>
                <w:szCs w:val="21"/>
                <w:highlight w:val="none"/>
              </w:rPr>
              <w:t>对入围供应商执行合同情况的监督管理</w:t>
            </w:r>
          </w:p>
        </w:tc>
        <w:tc>
          <w:tcPr>
            <w:tcW w:w="5675" w:type="dxa"/>
          </w:tcPr>
          <w:p w14:paraId="4A72B866">
            <w:pPr>
              <w:pStyle w:val="31"/>
              <w:spacing w:line="360" w:lineRule="auto"/>
              <w:rPr>
                <w:rFonts w:ascii="宋体" w:hAnsi="宋体"/>
                <w:sz w:val="21"/>
                <w:szCs w:val="21"/>
                <w:highlight w:val="none"/>
              </w:rPr>
            </w:pPr>
            <w:r>
              <w:rPr>
                <w:rFonts w:ascii="宋体" w:hAnsi="宋体"/>
                <w:sz w:val="21"/>
                <w:szCs w:val="21"/>
                <w:highlight w:val="none"/>
              </w:rPr>
              <w:t>1．为保证评审工作质量，减少财政风险，征集人将于服务期内对入围供应商执行合同情况进行跟踪检查；</w:t>
            </w:r>
          </w:p>
          <w:p w14:paraId="2E190922">
            <w:pPr>
              <w:pStyle w:val="31"/>
              <w:spacing w:line="360" w:lineRule="auto"/>
              <w:rPr>
                <w:rFonts w:ascii="宋体" w:hAnsi="宋体"/>
                <w:sz w:val="21"/>
                <w:szCs w:val="21"/>
                <w:highlight w:val="none"/>
              </w:rPr>
            </w:pPr>
            <w:r>
              <w:rPr>
                <w:rFonts w:ascii="宋体" w:hAnsi="宋体"/>
                <w:sz w:val="21"/>
                <w:szCs w:val="21"/>
                <w:highlight w:val="none"/>
              </w:rPr>
              <w:t>2．入围供应商在从事具体服务项目过程中接受征集人的事前、事中、事后的跟踪核查和工作指导；</w:t>
            </w:r>
          </w:p>
          <w:p w14:paraId="11801C4B">
            <w:pPr>
              <w:pStyle w:val="31"/>
              <w:spacing w:line="360" w:lineRule="auto"/>
              <w:rPr>
                <w:rFonts w:ascii="宋体" w:hAnsi="宋体"/>
                <w:sz w:val="21"/>
                <w:szCs w:val="21"/>
                <w:highlight w:val="none"/>
              </w:rPr>
            </w:pPr>
            <w:r>
              <w:rPr>
                <w:rFonts w:ascii="宋体" w:hAnsi="宋体"/>
                <w:sz w:val="21"/>
                <w:szCs w:val="21"/>
                <w:highlight w:val="none"/>
              </w:rPr>
              <w:t>3．入围供应商在服务期限内如发现有以下问题，通过有关部门查处核实，征集人有权终止其入围资格，征集人保留停止支付或追回已支付的评审费用和追究其法律责任的权利，并将有关情况向政府采购监督管理部门和建设造价管理部门反映：</w:t>
            </w:r>
          </w:p>
          <w:p w14:paraId="7ACA32E6">
            <w:pPr>
              <w:pStyle w:val="31"/>
              <w:spacing w:line="360" w:lineRule="auto"/>
              <w:rPr>
                <w:rFonts w:ascii="宋体" w:hAnsi="宋体"/>
                <w:sz w:val="21"/>
                <w:szCs w:val="21"/>
                <w:highlight w:val="none"/>
              </w:rPr>
            </w:pPr>
            <w:r>
              <w:rPr>
                <w:rFonts w:ascii="宋体" w:hAnsi="宋体"/>
                <w:sz w:val="21"/>
                <w:szCs w:val="21"/>
                <w:highlight w:val="none"/>
              </w:rPr>
              <w:t>① 违反有关法律、法规和政策规定，造成征集人及相关单位损失的；通过提供虚假信息、误导或欺骗等方式，以谋取非法利益的；</w:t>
            </w:r>
          </w:p>
          <w:p w14:paraId="3A0F9099">
            <w:pPr>
              <w:pStyle w:val="31"/>
              <w:spacing w:line="360" w:lineRule="auto"/>
              <w:rPr>
                <w:rFonts w:ascii="宋体" w:hAnsi="宋体"/>
                <w:sz w:val="21"/>
                <w:szCs w:val="21"/>
                <w:highlight w:val="none"/>
              </w:rPr>
            </w:pPr>
            <w:r>
              <w:rPr>
                <w:rFonts w:ascii="宋体" w:hAnsi="宋体"/>
                <w:sz w:val="21"/>
                <w:szCs w:val="21"/>
                <w:highlight w:val="none"/>
              </w:rPr>
              <w:t>② 采用非法手段进行不正当竞争的，构成恶劣影响的；</w:t>
            </w:r>
          </w:p>
          <w:p w14:paraId="022B1EEB">
            <w:pPr>
              <w:pStyle w:val="31"/>
              <w:spacing w:line="360" w:lineRule="auto"/>
              <w:rPr>
                <w:rFonts w:ascii="宋体" w:hAnsi="宋体"/>
                <w:sz w:val="21"/>
                <w:szCs w:val="21"/>
                <w:highlight w:val="none"/>
              </w:rPr>
            </w:pPr>
            <w:r>
              <w:rPr>
                <w:rFonts w:ascii="宋体" w:hAnsi="宋体"/>
                <w:sz w:val="21"/>
                <w:szCs w:val="21"/>
                <w:highlight w:val="none"/>
              </w:rPr>
              <w:t xml:space="preserve">③ 无正当理由拒绝接受委托或未经征集人书面同意擅自将受托项目转委托给第三方的； </w:t>
            </w:r>
          </w:p>
          <w:p w14:paraId="4B4DCEF9">
            <w:pPr>
              <w:pStyle w:val="31"/>
              <w:spacing w:line="360" w:lineRule="auto"/>
              <w:rPr>
                <w:rFonts w:ascii="宋体" w:hAnsi="宋体"/>
                <w:sz w:val="21"/>
                <w:szCs w:val="21"/>
                <w:highlight w:val="none"/>
              </w:rPr>
            </w:pPr>
            <w:r>
              <w:rPr>
                <w:rFonts w:ascii="宋体" w:hAnsi="宋体"/>
                <w:sz w:val="21"/>
                <w:szCs w:val="21"/>
                <w:highlight w:val="none"/>
              </w:rPr>
              <w:t>④ 违反回避制度和保密规定的；</w:t>
            </w:r>
          </w:p>
          <w:p w14:paraId="030A09BE">
            <w:pPr>
              <w:pStyle w:val="31"/>
              <w:spacing w:line="360" w:lineRule="auto"/>
              <w:rPr>
                <w:rFonts w:ascii="宋体" w:hAnsi="宋体"/>
                <w:sz w:val="21"/>
                <w:szCs w:val="21"/>
                <w:highlight w:val="none"/>
              </w:rPr>
            </w:pPr>
            <w:r>
              <w:rPr>
                <w:rFonts w:ascii="宋体" w:hAnsi="宋体"/>
                <w:sz w:val="21"/>
                <w:szCs w:val="21"/>
                <w:highlight w:val="none"/>
              </w:rPr>
              <w:t>⑤ 拒绝接受征集人跟踪检查的；</w:t>
            </w:r>
          </w:p>
          <w:p w14:paraId="33247BFE">
            <w:pPr>
              <w:pStyle w:val="31"/>
              <w:spacing w:line="360" w:lineRule="auto"/>
              <w:rPr>
                <w:rFonts w:ascii="宋体" w:hAnsi="宋体"/>
                <w:sz w:val="21"/>
                <w:szCs w:val="21"/>
                <w:highlight w:val="none"/>
              </w:rPr>
            </w:pPr>
            <w:r>
              <w:rPr>
                <w:rFonts w:ascii="宋体" w:hAnsi="宋体"/>
                <w:sz w:val="21"/>
                <w:szCs w:val="21"/>
                <w:highlight w:val="none"/>
              </w:rPr>
              <w:t>⑥ 不按要求保管评审资料的。</w:t>
            </w:r>
          </w:p>
        </w:tc>
      </w:tr>
      <w:tr w14:paraId="4A1EABE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15" w:type="dxa"/>
          </w:tcPr>
          <w:p w14:paraId="623F2A11">
            <w:pPr>
              <w:pStyle w:val="31"/>
              <w:spacing w:line="360" w:lineRule="auto"/>
              <w:rPr>
                <w:rFonts w:ascii="宋体" w:hAnsi="宋体"/>
                <w:sz w:val="21"/>
                <w:szCs w:val="21"/>
                <w:highlight w:val="none"/>
              </w:rPr>
            </w:pPr>
            <w:r>
              <w:rPr>
                <w:rFonts w:ascii="宋体" w:hAnsi="宋体"/>
                <w:sz w:val="21"/>
                <w:szCs w:val="21"/>
                <w:highlight w:val="none"/>
              </w:rPr>
              <w:t>5</w:t>
            </w:r>
          </w:p>
        </w:tc>
        <w:tc>
          <w:tcPr>
            <w:tcW w:w="926" w:type="dxa"/>
          </w:tcPr>
          <w:p w14:paraId="2C3DC7C9">
            <w:pPr>
              <w:pStyle w:val="31"/>
              <w:spacing w:line="360" w:lineRule="auto"/>
              <w:rPr>
                <w:rFonts w:ascii="宋体" w:hAnsi="宋体"/>
                <w:sz w:val="21"/>
                <w:szCs w:val="21"/>
                <w:highlight w:val="none"/>
              </w:rPr>
            </w:pPr>
            <w:r>
              <w:rPr>
                <w:rFonts w:ascii="宋体" w:hAnsi="宋体"/>
                <w:sz w:val="21"/>
                <w:szCs w:val="21"/>
                <w:highlight w:val="none"/>
              </w:rPr>
              <w:t>服务内容</w:t>
            </w:r>
          </w:p>
        </w:tc>
        <w:tc>
          <w:tcPr>
            <w:tcW w:w="988" w:type="dxa"/>
          </w:tcPr>
          <w:p w14:paraId="59263C4A">
            <w:pPr>
              <w:pStyle w:val="31"/>
              <w:spacing w:line="360" w:lineRule="auto"/>
              <w:rPr>
                <w:rFonts w:ascii="宋体" w:hAnsi="宋体"/>
                <w:sz w:val="21"/>
                <w:szCs w:val="21"/>
                <w:highlight w:val="none"/>
              </w:rPr>
            </w:pPr>
            <w:r>
              <w:rPr>
                <w:rFonts w:ascii="宋体" w:hAnsi="宋体"/>
                <w:sz w:val="21"/>
                <w:szCs w:val="21"/>
                <w:highlight w:val="none"/>
              </w:rPr>
              <w:t>概算、预算、财务决算评审服务项目评审规范</w:t>
            </w:r>
          </w:p>
        </w:tc>
        <w:tc>
          <w:tcPr>
            <w:tcW w:w="5675" w:type="dxa"/>
          </w:tcPr>
          <w:p w14:paraId="2AE3CDA8">
            <w:pPr>
              <w:pStyle w:val="31"/>
              <w:spacing w:line="360" w:lineRule="auto"/>
              <w:rPr>
                <w:rFonts w:ascii="宋体" w:hAnsi="宋体"/>
                <w:sz w:val="21"/>
                <w:szCs w:val="21"/>
                <w:highlight w:val="none"/>
              </w:rPr>
            </w:pPr>
            <w:r>
              <w:rPr>
                <w:rFonts w:ascii="宋体" w:hAnsi="宋体"/>
                <w:sz w:val="21"/>
                <w:szCs w:val="21"/>
                <w:highlight w:val="none"/>
              </w:rPr>
              <w:t>（一）概算、预算、财务决算评审服务项目评审的依据</w:t>
            </w:r>
          </w:p>
          <w:p w14:paraId="005579A8">
            <w:pPr>
              <w:pStyle w:val="31"/>
              <w:spacing w:line="360" w:lineRule="auto"/>
              <w:rPr>
                <w:rFonts w:ascii="宋体" w:hAnsi="宋体"/>
                <w:sz w:val="21"/>
                <w:szCs w:val="21"/>
                <w:highlight w:val="none"/>
              </w:rPr>
            </w:pPr>
            <w:r>
              <w:rPr>
                <w:rFonts w:ascii="宋体" w:hAnsi="宋体"/>
                <w:sz w:val="21"/>
                <w:szCs w:val="21"/>
                <w:highlight w:val="none"/>
              </w:rPr>
              <w:t>1．国家有关投资计划、财政预算、财政投资评审、经济合同和工程建设的法律，法规及规章制度与工程项目相关的规定；</w:t>
            </w:r>
          </w:p>
          <w:p w14:paraId="6A28CA6A">
            <w:pPr>
              <w:pStyle w:val="31"/>
              <w:spacing w:line="360" w:lineRule="auto"/>
              <w:rPr>
                <w:rFonts w:ascii="宋体" w:hAnsi="宋体"/>
                <w:sz w:val="21"/>
                <w:szCs w:val="21"/>
                <w:highlight w:val="none"/>
              </w:rPr>
            </w:pPr>
            <w:r>
              <w:rPr>
                <w:rFonts w:ascii="宋体" w:hAnsi="宋体"/>
                <w:sz w:val="21"/>
                <w:szCs w:val="21"/>
                <w:highlight w:val="none"/>
              </w:rPr>
              <w:t>2．国家主管部门及地方有关部门颁布的标准、定额和工程技术经济规范；</w:t>
            </w:r>
          </w:p>
          <w:p w14:paraId="39EA410A">
            <w:pPr>
              <w:pStyle w:val="31"/>
              <w:spacing w:line="360" w:lineRule="auto"/>
              <w:rPr>
                <w:rFonts w:ascii="宋体" w:hAnsi="宋体"/>
                <w:sz w:val="21"/>
                <w:szCs w:val="21"/>
                <w:highlight w:val="none"/>
              </w:rPr>
            </w:pPr>
            <w:r>
              <w:rPr>
                <w:rFonts w:ascii="宋体" w:hAnsi="宋体"/>
                <w:sz w:val="21"/>
                <w:szCs w:val="21"/>
                <w:highlight w:val="none"/>
              </w:rPr>
              <w:t>3．与工程项目有关的市场价格信息、同类项目的造价及其他有关的市场信息；</w:t>
            </w:r>
          </w:p>
          <w:p w14:paraId="6ACE0083">
            <w:pPr>
              <w:pStyle w:val="31"/>
              <w:spacing w:line="360" w:lineRule="auto"/>
              <w:rPr>
                <w:rFonts w:ascii="宋体" w:hAnsi="宋体"/>
                <w:sz w:val="21"/>
                <w:szCs w:val="21"/>
                <w:highlight w:val="none"/>
              </w:rPr>
            </w:pPr>
            <w:r>
              <w:rPr>
                <w:rFonts w:ascii="宋体" w:hAnsi="宋体"/>
                <w:sz w:val="21"/>
                <w:szCs w:val="21"/>
                <w:highlight w:val="none"/>
              </w:rPr>
              <w:t>4．项目立项、可行性研究报告、初步设计及概算批复等批准文件，项目设计、招投标、施工合同及施工管理等文件；</w:t>
            </w:r>
          </w:p>
          <w:p w14:paraId="7BF6804C">
            <w:pPr>
              <w:pStyle w:val="31"/>
              <w:spacing w:line="360" w:lineRule="auto"/>
              <w:rPr>
                <w:rFonts w:ascii="宋体" w:hAnsi="宋体"/>
                <w:sz w:val="21"/>
                <w:szCs w:val="21"/>
                <w:highlight w:val="none"/>
              </w:rPr>
            </w:pPr>
            <w:r>
              <w:rPr>
                <w:rFonts w:ascii="宋体" w:hAnsi="宋体"/>
                <w:sz w:val="21"/>
                <w:szCs w:val="21"/>
                <w:highlight w:val="none"/>
              </w:rPr>
              <w:t>5．项目评审所需的其他有关依据。</w:t>
            </w:r>
          </w:p>
          <w:p w14:paraId="3AA4D43A">
            <w:pPr>
              <w:pStyle w:val="31"/>
              <w:spacing w:line="360" w:lineRule="auto"/>
              <w:rPr>
                <w:rFonts w:ascii="宋体" w:hAnsi="宋体"/>
                <w:sz w:val="21"/>
                <w:szCs w:val="21"/>
                <w:highlight w:val="none"/>
              </w:rPr>
            </w:pPr>
            <w:r>
              <w:rPr>
                <w:rFonts w:ascii="宋体" w:hAnsi="宋体"/>
                <w:sz w:val="21"/>
                <w:szCs w:val="21"/>
                <w:highlight w:val="none"/>
              </w:rPr>
              <w:t>（二）项目评审的程序</w:t>
            </w:r>
          </w:p>
          <w:p w14:paraId="606E8F35">
            <w:pPr>
              <w:pStyle w:val="31"/>
              <w:spacing w:line="360" w:lineRule="auto"/>
              <w:rPr>
                <w:rFonts w:ascii="宋体" w:hAnsi="宋体"/>
                <w:sz w:val="21"/>
                <w:szCs w:val="21"/>
                <w:highlight w:val="none"/>
              </w:rPr>
            </w:pPr>
            <w:r>
              <w:rPr>
                <w:rFonts w:ascii="宋体" w:hAnsi="宋体"/>
                <w:sz w:val="21"/>
                <w:szCs w:val="21"/>
                <w:highlight w:val="none"/>
              </w:rPr>
              <w:t>1．接受阳江市阳东区财政局投资审核中心下达的委托评审任务，签订委托业务合同；</w:t>
            </w:r>
          </w:p>
          <w:p w14:paraId="0C78D1CD">
            <w:pPr>
              <w:pStyle w:val="31"/>
              <w:spacing w:line="360" w:lineRule="auto"/>
              <w:rPr>
                <w:rFonts w:ascii="宋体" w:hAnsi="宋体"/>
                <w:sz w:val="21"/>
                <w:szCs w:val="21"/>
                <w:highlight w:val="none"/>
              </w:rPr>
            </w:pPr>
            <w:r>
              <w:rPr>
                <w:rFonts w:ascii="宋体" w:hAnsi="宋体"/>
                <w:sz w:val="21"/>
                <w:szCs w:val="21"/>
                <w:highlight w:val="none"/>
              </w:rPr>
              <w:t>2．了解项目的基本情况和评审业务，配置相应的评审人员；</w:t>
            </w:r>
          </w:p>
          <w:p w14:paraId="12156E62">
            <w:pPr>
              <w:pStyle w:val="31"/>
              <w:spacing w:line="360" w:lineRule="auto"/>
              <w:rPr>
                <w:rFonts w:ascii="宋体" w:hAnsi="宋体"/>
                <w:sz w:val="21"/>
                <w:szCs w:val="21"/>
                <w:highlight w:val="none"/>
              </w:rPr>
            </w:pPr>
            <w:r>
              <w:rPr>
                <w:rFonts w:ascii="宋体" w:hAnsi="宋体"/>
                <w:sz w:val="21"/>
                <w:szCs w:val="21"/>
                <w:highlight w:val="none"/>
              </w:rPr>
              <w:t>3．制定项目评审计划，评审计划应包括评审内容、评审重点、评审方向和评审时间；</w:t>
            </w:r>
          </w:p>
          <w:p w14:paraId="5B384EF6">
            <w:pPr>
              <w:pStyle w:val="31"/>
              <w:spacing w:line="360" w:lineRule="auto"/>
              <w:rPr>
                <w:rFonts w:ascii="宋体" w:hAnsi="宋体"/>
                <w:sz w:val="21"/>
                <w:szCs w:val="21"/>
                <w:highlight w:val="none"/>
              </w:rPr>
            </w:pPr>
            <w:r>
              <w:rPr>
                <w:rFonts w:ascii="宋体" w:hAnsi="宋体"/>
                <w:sz w:val="21"/>
                <w:szCs w:val="21"/>
                <w:highlight w:val="none"/>
              </w:rPr>
              <w:t>4．评审和整理建设单位报送的评审资料，对缺少资料的有权要求建设单位限期补齐。</w:t>
            </w:r>
          </w:p>
          <w:p w14:paraId="1A3A1766">
            <w:pPr>
              <w:pStyle w:val="31"/>
              <w:spacing w:line="360" w:lineRule="auto"/>
              <w:rPr>
                <w:rFonts w:ascii="宋体" w:hAnsi="宋体"/>
                <w:sz w:val="21"/>
                <w:szCs w:val="21"/>
                <w:highlight w:val="none"/>
              </w:rPr>
            </w:pPr>
            <w:r>
              <w:rPr>
                <w:rFonts w:ascii="宋体" w:hAnsi="宋体"/>
                <w:sz w:val="21"/>
                <w:szCs w:val="21"/>
                <w:highlight w:val="none"/>
              </w:rPr>
              <w:t>5．查阅并熟悉有关项目的评审依据，审查建设单位所送资料的合法性、真实性、准确性和完整性；</w:t>
            </w:r>
          </w:p>
          <w:p w14:paraId="41A06A56">
            <w:pPr>
              <w:pStyle w:val="31"/>
              <w:spacing w:line="360" w:lineRule="auto"/>
              <w:rPr>
                <w:rFonts w:ascii="宋体" w:hAnsi="宋体"/>
                <w:sz w:val="21"/>
                <w:szCs w:val="21"/>
                <w:highlight w:val="none"/>
              </w:rPr>
            </w:pPr>
            <w:r>
              <w:rPr>
                <w:rFonts w:ascii="宋体" w:hAnsi="宋体"/>
                <w:sz w:val="21"/>
                <w:szCs w:val="21"/>
                <w:highlight w:val="none"/>
              </w:rPr>
              <w:t>6．现场勘查；</w:t>
            </w:r>
          </w:p>
          <w:p w14:paraId="421C4D9E">
            <w:pPr>
              <w:pStyle w:val="31"/>
              <w:spacing w:line="360" w:lineRule="auto"/>
              <w:rPr>
                <w:rFonts w:ascii="宋体" w:hAnsi="宋体"/>
                <w:sz w:val="21"/>
                <w:szCs w:val="21"/>
                <w:highlight w:val="none"/>
              </w:rPr>
            </w:pPr>
            <w:r>
              <w:rPr>
                <w:rFonts w:ascii="宋体" w:hAnsi="宋体"/>
                <w:sz w:val="21"/>
                <w:szCs w:val="21"/>
                <w:highlight w:val="none"/>
              </w:rPr>
              <w:t>7．核查、取证、计量、分析、汇总；</w:t>
            </w:r>
          </w:p>
          <w:p w14:paraId="52DA8136">
            <w:pPr>
              <w:pStyle w:val="31"/>
              <w:spacing w:line="360" w:lineRule="auto"/>
              <w:rPr>
                <w:rFonts w:ascii="宋体" w:hAnsi="宋体"/>
                <w:sz w:val="21"/>
                <w:szCs w:val="21"/>
                <w:highlight w:val="none"/>
              </w:rPr>
            </w:pPr>
            <w:r>
              <w:rPr>
                <w:rFonts w:ascii="宋体" w:hAnsi="宋体"/>
                <w:sz w:val="21"/>
                <w:szCs w:val="21"/>
                <w:highlight w:val="none"/>
              </w:rPr>
              <w:t>8．按照规定的格式和内容形成初审意见；</w:t>
            </w:r>
          </w:p>
          <w:p w14:paraId="239BD427">
            <w:pPr>
              <w:pStyle w:val="31"/>
              <w:spacing w:line="360" w:lineRule="auto"/>
              <w:rPr>
                <w:rFonts w:ascii="宋体" w:hAnsi="宋体"/>
                <w:sz w:val="21"/>
                <w:szCs w:val="21"/>
                <w:highlight w:val="none"/>
              </w:rPr>
            </w:pPr>
            <w:r>
              <w:rPr>
                <w:rFonts w:ascii="宋体" w:hAnsi="宋体"/>
                <w:sz w:val="21"/>
                <w:szCs w:val="21"/>
                <w:highlight w:val="none"/>
              </w:rPr>
              <w:t>9．入围供应商（评审机构）项目负责人及入围供应商对初审意见复核并做出评审结论；</w:t>
            </w:r>
          </w:p>
          <w:p w14:paraId="2C26A659">
            <w:pPr>
              <w:pStyle w:val="31"/>
              <w:spacing w:line="360" w:lineRule="auto"/>
              <w:rPr>
                <w:rFonts w:ascii="宋体" w:hAnsi="宋体"/>
                <w:sz w:val="21"/>
                <w:szCs w:val="21"/>
                <w:highlight w:val="none"/>
              </w:rPr>
            </w:pPr>
            <w:r>
              <w:rPr>
                <w:rFonts w:ascii="宋体" w:hAnsi="宋体"/>
                <w:sz w:val="21"/>
                <w:szCs w:val="21"/>
                <w:highlight w:val="none"/>
              </w:rPr>
              <w:t>10．与项目建设单位和有关单位交换评审意见，并由项目建设单位在评审结论书或项目概算、预算和财务决算审批表上签署意见；若项目建设单位不签署意见或在规定时间内未能签署意见的，入围供应商（评审机构）在上报评审报告时，应对项目建设单位未签署意见的原因作出详细说明；</w:t>
            </w:r>
          </w:p>
          <w:p w14:paraId="61C8776D">
            <w:pPr>
              <w:pStyle w:val="31"/>
              <w:spacing w:line="360" w:lineRule="auto"/>
              <w:rPr>
                <w:rFonts w:ascii="宋体" w:hAnsi="宋体"/>
                <w:sz w:val="21"/>
                <w:szCs w:val="21"/>
                <w:highlight w:val="none"/>
              </w:rPr>
            </w:pPr>
            <w:r>
              <w:rPr>
                <w:rFonts w:ascii="宋体" w:hAnsi="宋体"/>
                <w:sz w:val="21"/>
                <w:szCs w:val="21"/>
                <w:highlight w:val="none"/>
              </w:rPr>
              <w:t>11．根据项目建设单位反馈意见出具评审报告，送财政部门审定，入围供应商（评审机构）的评审结果只对财政部门提供，而不能自行提供给其他单位。</w:t>
            </w:r>
          </w:p>
          <w:p w14:paraId="629A7B4B">
            <w:pPr>
              <w:pStyle w:val="31"/>
              <w:spacing w:line="360" w:lineRule="auto"/>
              <w:rPr>
                <w:rFonts w:ascii="宋体" w:hAnsi="宋体"/>
                <w:sz w:val="21"/>
                <w:szCs w:val="21"/>
                <w:highlight w:val="none"/>
              </w:rPr>
            </w:pPr>
            <w:r>
              <w:rPr>
                <w:rFonts w:ascii="宋体" w:hAnsi="宋体"/>
                <w:sz w:val="21"/>
                <w:szCs w:val="21"/>
                <w:highlight w:val="none"/>
              </w:rPr>
              <w:t>（三）项目概算评审</w:t>
            </w:r>
          </w:p>
          <w:p w14:paraId="5CEDB3CF">
            <w:pPr>
              <w:pStyle w:val="31"/>
              <w:spacing w:line="360" w:lineRule="auto"/>
              <w:rPr>
                <w:rFonts w:hint="eastAsia" w:ascii="宋体" w:hAnsi="宋体"/>
                <w:sz w:val="21"/>
                <w:szCs w:val="21"/>
                <w:highlight w:val="none"/>
              </w:rPr>
            </w:pPr>
            <w:r>
              <w:rPr>
                <w:rFonts w:hint="eastAsia" w:ascii="宋体" w:hAnsi="宋体"/>
                <w:sz w:val="21"/>
                <w:szCs w:val="21"/>
                <w:highlight w:val="none"/>
              </w:rPr>
              <w:t>1、项目概算评审包括对项目建设程序、建筑安装工程概算、设备投资概算、待摊投资概算和其他投资概算等的评审。其中：待摊投资概算和其他投资概算的评审，主要对项目概算中除建筑安装工程概算、设备投资概算之外的项目概算投资进行评审。评审内容包括：</w:t>
            </w:r>
          </w:p>
          <w:p w14:paraId="1C457777">
            <w:pPr>
              <w:pStyle w:val="31"/>
              <w:spacing w:line="360" w:lineRule="auto"/>
              <w:rPr>
                <w:rFonts w:hint="eastAsia" w:ascii="宋体" w:hAnsi="宋体"/>
                <w:sz w:val="21"/>
                <w:szCs w:val="21"/>
                <w:highlight w:val="none"/>
              </w:rPr>
            </w:pPr>
            <w:r>
              <w:rPr>
                <w:rFonts w:hint="eastAsia" w:ascii="宋体" w:hAnsi="宋体"/>
                <w:sz w:val="21"/>
                <w:szCs w:val="21"/>
                <w:highlight w:val="none"/>
              </w:rPr>
              <w:t>1.1建设单位勘察设计费、监理费、研究试验费、招投标费、贷款利息等待摊投资概算，按国家规定的标准和范围等进行评审；</w:t>
            </w:r>
          </w:p>
          <w:p w14:paraId="130B5225">
            <w:pPr>
              <w:pStyle w:val="31"/>
              <w:spacing w:line="360" w:lineRule="auto"/>
              <w:rPr>
                <w:rFonts w:hint="eastAsia" w:ascii="宋体" w:hAnsi="宋体"/>
                <w:sz w:val="21"/>
                <w:szCs w:val="21"/>
                <w:highlight w:val="none"/>
              </w:rPr>
            </w:pPr>
            <w:r>
              <w:rPr>
                <w:rFonts w:hint="eastAsia" w:ascii="宋体" w:hAnsi="宋体"/>
                <w:sz w:val="21"/>
                <w:szCs w:val="21"/>
                <w:highlight w:val="none"/>
              </w:rPr>
              <w:t>1.2如有需要，对土地使用权费用</w:t>
            </w:r>
            <w:r>
              <w:rPr>
                <w:rFonts w:hint="eastAsia" w:ascii="宋体" w:hAnsi="宋体"/>
                <w:sz w:val="21"/>
                <w:szCs w:val="21"/>
                <w:highlight w:val="none"/>
                <w:lang w:val="en-US" w:eastAsia="zh-CN"/>
              </w:rPr>
              <w:t>概算</w:t>
            </w:r>
            <w:r>
              <w:rPr>
                <w:rFonts w:hint="eastAsia" w:ascii="宋体" w:hAnsi="宋体"/>
                <w:sz w:val="21"/>
                <w:szCs w:val="21"/>
                <w:highlight w:val="none"/>
              </w:rPr>
              <w:t>进行评审时，应在核定用地数量的基础上，区别土地使用权的不同取得方式进行评审；</w:t>
            </w:r>
          </w:p>
          <w:p w14:paraId="3E2D1077">
            <w:pPr>
              <w:pStyle w:val="31"/>
              <w:spacing w:line="360" w:lineRule="auto"/>
              <w:rPr>
                <w:rFonts w:ascii="宋体" w:hAnsi="宋体"/>
                <w:sz w:val="21"/>
                <w:szCs w:val="21"/>
                <w:highlight w:val="none"/>
              </w:rPr>
            </w:pPr>
            <w:r>
              <w:rPr>
                <w:rFonts w:hint="eastAsia" w:ascii="宋体" w:hAnsi="宋体"/>
                <w:sz w:val="21"/>
                <w:szCs w:val="21"/>
                <w:highlight w:val="none"/>
              </w:rPr>
              <w:t>1.3其他投资的评审，主要评审项目建设单位按概算内容发生并构成基本建设实际支出的房屋购置和基本禽畜、林木等购置、饲养、培育支出以及取得各种无形资产和递延资产等发生的支出。</w:t>
            </w:r>
          </w:p>
          <w:p w14:paraId="5B78DF42">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2</w:t>
            </w:r>
            <w:r>
              <w:rPr>
                <w:rFonts w:ascii="宋体" w:hAnsi="宋体"/>
                <w:sz w:val="21"/>
                <w:szCs w:val="21"/>
                <w:highlight w:val="none"/>
              </w:rPr>
              <w:t>．项目概算评审，应当获取并依据以下资料:</w:t>
            </w:r>
          </w:p>
          <w:p w14:paraId="4719E036">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2</w:t>
            </w:r>
            <w:r>
              <w:rPr>
                <w:rFonts w:ascii="宋体" w:hAnsi="宋体"/>
                <w:sz w:val="21"/>
                <w:szCs w:val="21"/>
                <w:highlight w:val="none"/>
              </w:rPr>
              <w:t>.1项目建议书、可行性研究报告</w:t>
            </w:r>
            <w:r>
              <w:rPr>
                <w:rFonts w:hint="eastAsia" w:ascii="宋体" w:hAnsi="宋体"/>
                <w:sz w:val="21"/>
                <w:szCs w:val="21"/>
                <w:highlight w:val="none"/>
              </w:rPr>
              <w:t>（有则提供）</w:t>
            </w:r>
            <w:r>
              <w:rPr>
                <w:rFonts w:hint="eastAsia" w:ascii="宋体" w:hAnsi="宋体"/>
                <w:sz w:val="21"/>
                <w:szCs w:val="21"/>
                <w:highlight w:val="none"/>
                <w:lang w:eastAsia="zh-CN"/>
              </w:rPr>
              <w:t>；</w:t>
            </w:r>
          </w:p>
          <w:p w14:paraId="46BB4D69">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2</w:t>
            </w:r>
            <w:r>
              <w:rPr>
                <w:rFonts w:ascii="宋体" w:hAnsi="宋体"/>
                <w:sz w:val="21"/>
                <w:szCs w:val="21"/>
                <w:highlight w:val="none"/>
              </w:rPr>
              <w:t>.2</w:t>
            </w:r>
            <w:r>
              <w:rPr>
                <w:rFonts w:hint="eastAsia" w:ascii="宋体" w:hAnsi="宋体"/>
                <w:sz w:val="21"/>
                <w:szCs w:val="21"/>
                <w:highlight w:val="none"/>
              </w:rPr>
              <w:t>有关部门对项目建议书或可行性研究报告的批复（有则提供）</w:t>
            </w:r>
            <w:r>
              <w:rPr>
                <w:rFonts w:hint="eastAsia" w:ascii="宋体" w:hAnsi="宋体"/>
                <w:sz w:val="21"/>
                <w:szCs w:val="21"/>
                <w:highlight w:val="none"/>
                <w:lang w:eastAsia="zh-CN"/>
              </w:rPr>
              <w:t>；</w:t>
            </w:r>
          </w:p>
          <w:p w14:paraId="1A958E29">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2</w:t>
            </w:r>
            <w:r>
              <w:rPr>
                <w:rFonts w:ascii="宋体" w:hAnsi="宋体"/>
                <w:sz w:val="21"/>
                <w:szCs w:val="21"/>
                <w:highlight w:val="none"/>
              </w:rPr>
              <w:t>.3初步设计资料或总体设计、初步设计图纸以及概算书</w:t>
            </w:r>
            <w:r>
              <w:rPr>
                <w:rFonts w:hint="eastAsia" w:ascii="宋体" w:hAnsi="宋体"/>
                <w:sz w:val="21"/>
                <w:szCs w:val="21"/>
                <w:highlight w:val="none"/>
                <w:lang w:eastAsia="zh-CN"/>
              </w:rPr>
              <w:t>；</w:t>
            </w:r>
          </w:p>
          <w:p w14:paraId="767B8CA3">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2</w:t>
            </w:r>
            <w:r>
              <w:rPr>
                <w:rFonts w:ascii="宋体" w:hAnsi="宋体"/>
                <w:sz w:val="21"/>
                <w:szCs w:val="21"/>
                <w:highlight w:val="none"/>
              </w:rPr>
              <w:t>.4概算定额、取费标准，设备市场价格</w:t>
            </w:r>
            <w:r>
              <w:rPr>
                <w:rFonts w:hint="eastAsia" w:ascii="宋体" w:hAnsi="宋体"/>
                <w:sz w:val="21"/>
                <w:szCs w:val="21"/>
                <w:highlight w:val="none"/>
                <w:lang w:eastAsia="zh-CN"/>
              </w:rPr>
              <w:t>；</w:t>
            </w:r>
          </w:p>
          <w:p w14:paraId="7CCF4FEF">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2</w:t>
            </w:r>
            <w:r>
              <w:rPr>
                <w:rFonts w:ascii="宋体" w:hAnsi="宋体"/>
                <w:sz w:val="21"/>
                <w:szCs w:val="21"/>
                <w:highlight w:val="none"/>
              </w:rPr>
              <w:t>.5其他相关资料。</w:t>
            </w:r>
          </w:p>
          <w:p w14:paraId="383A7471">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3</w:t>
            </w:r>
            <w:r>
              <w:rPr>
                <w:rFonts w:ascii="宋体" w:hAnsi="宋体"/>
                <w:sz w:val="21"/>
                <w:szCs w:val="21"/>
                <w:highlight w:val="none"/>
              </w:rPr>
              <w:t>.项目概算评审，应重点审查以下内容:</w:t>
            </w:r>
          </w:p>
          <w:p w14:paraId="3591ED31">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3</w:t>
            </w:r>
            <w:r>
              <w:rPr>
                <w:rFonts w:ascii="宋体" w:hAnsi="宋体"/>
                <w:sz w:val="21"/>
                <w:szCs w:val="21"/>
                <w:highlight w:val="none"/>
              </w:rPr>
              <w:t>.1审查项目概算的评审资料是否符合相关规定</w:t>
            </w:r>
            <w:r>
              <w:rPr>
                <w:rFonts w:hint="eastAsia" w:ascii="宋体" w:hAnsi="宋体"/>
                <w:sz w:val="21"/>
                <w:szCs w:val="21"/>
                <w:highlight w:val="none"/>
                <w:lang w:eastAsia="zh-CN"/>
              </w:rPr>
              <w:t>；</w:t>
            </w:r>
          </w:p>
          <w:p w14:paraId="3A4537FC">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3</w:t>
            </w:r>
            <w:r>
              <w:rPr>
                <w:rFonts w:ascii="宋体" w:hAnsi="宋体"/>
                <w:sz w:val="21"/>
                <w:szCs w:val="21"/>
                <w:highlight w:val="none"/>
              </w:rPr>
              <w:t>.2设计概算的完整性与准确性，有无错漏项、重项</w:t>
            </w:r>
            <w:r>
              <w:rPr>
                <w:rFonts w:hint="eastAsia" w:ascii="宋体" w:hAnsi="宋体"/>
                <w:sz w:val="21"/>
                <w:szCs w:val="21"/>
                <w:highlight w:val="none"/>
                <w:lang w:eastAsia="zh-CN"/>
              </w:rPr>
              <w:t>；</w:t>
            </w:r>
          </w:p>
          <w:p w14:paraId="0C818775">
            <w:pPr>
              <w:pStyle w:val="31"/>
              <w:spacing w:line="360" w:lineRule="auto"/>
              <w:rPr>
                <w:rFonts w:hint="eastAsia" w:ascii="宋体" w:hAnsi="宋体" w:eastAsiaTheme="minorEastAsia"/>
                <w:sz w:val="21"/>
                <w:szCs w:val="21"/>
                <w:highlight w:val="none"/>
                <w:lang w:eastAsia="zh-CN"/>
              </w:rPr>
            </w:pPr>
            <w:r>
              <w:rPr>
                <w:rFonts w:ascii="宋体" w:hAnsi="宋体"/>
                <w:sz w:val="21"/>
                <w:szCs w:val="21"/>
                <w:highlight w:val="none"/>
              </w:rPr>
              <w:t>2.3所使用的概算定额和取费标准是否符合国家和地方有关规定</w:t>
            </w:r>
            <w:r>
              <w:rPr>
                <w:rFonts w:hint="eastAsia" w:ascii="宋体" w:hAnsi="宋体"/>
                <w:sz w:val="21"/>
                <w:szCs w:val="21"/>
                <w:highlight w:val="none"/>
                <w:lang w:eastAsia="zh-CN"/>
              </w:rPr>
              <w:t>；</w:t>
            </w:r>
          </w:p>
          <w:p w14:paraId="60363CDD">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3</w:t>
            </w:r>
            <w:r>
              <w:rPr>
                <w:rFonts w:ascii="宋体" w:hAnsi="宋体"/>
                <w:sz w:val="21"/>
                <w:szCs w:val="21"/>
                <w:highlight w:val="none"/>
              </w:rPr>
              <w:t>.4设备价格是否符合市场价格。</w:t>
            </w:r>
          </w:p>
          <w:p w14:paraId="1BC9CE51">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4</w:t>
            </w:r>
            <w:r>
              <w:rPr>
                <w:rFonts w:ascii="宋体" w:hAnsi="宋体"/>
                <w:sz w:val="21"/>
                <w:szCs w:val="21"/>
                <w:highlight w:val="none"/>
              </w:rPr>
              <w:t>.及时披露重大</w:t>
            </w:r>
            <w:r>
              <w:rPr>
                <w:rFonts w:hint="eastAsia"/>
                <w:highlight w:val="none"/>
                <w:lang w:eastAsia="zh-CN"/>
              </w:rPr>
              <w:t>概算</w:t>
            </w:r>
            <w:r>
              <w:rPr>
                <w:rFonts w:ascii="宋体" w:hAnsi="宋体"/>
                <w:sz w:val="21"/>
                <w:szCs w:val="21"/>
                <w:highlight w:val="none"/>
              </w:rPr>
              <w:t>问题</w:t>
            </w:r>
            <w:r>
              <w:rPr>
                <w:rFonts w:hint="eastAsia" w:ascii="宋体" w:hAnsi="宋体"/>
                <w:sz w:val="21"/>
                <w:szCs w:val="21"/>
                <w:highlight w:val="none"/>
                <w:lang w:eastAsia="zh-CN"/>
              </w:rPr>
              <w:t>；</w:t>
            </w:r>
          </w:p>
          <w:p w14:paraId="27FCBFB6">
            <w:pPr>
              <w:pStyle w:val="31"/>
              <w:spacing w:line="360" w:lineRule="auto"/>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5</w:t>
            </w:r>
            <w:r>
              <w:rPr>
                <w:rFonts w:ascii="宋体" w:hAnsi="宋体"/>
                <w:sz w:val="21"/>
                <w:szCs w:val="21"/>
                <w:highlight w:val="none"/>
              </w:rPr>
              <w:t>.参与财审部门组织的各种对数、评审会议</w:t>
            </w:r>
            <w:r>
              <w:rPr>
                <w:rFonts w:hint="eastAsia" w:ascii="宋体" w:hAnsi="宋体"/>
                <w:sz w:val="21"/>
                <w:szCs w:val="21"/>
                <w:highlight w:val="none"/>
                <w:lang w:eastAsia="zh-CN"/>
              </w:rPr>
              <w:t>；</w:t>
            </w:r>
          </w:p>
          <w:p w14:paraId="26536B22">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6</w:t>
            </w:r>
            <w:r>
              <w:rPr>
                <w:rFonts w:ascii="宋体" w:hAnsi="宋体"/>
                <w:sz w:val="21"/>
                <w:szCs w:val="21"/>
                <w:highlight w:val="none"/>
              </w:rPr>
              <w:t>.出具符合财审部门要求的结论报告。</w:t>
            </w:r>
          </w:p>
          <w:p w14:paraId="6941ABCD">
            <w:pPr>
              <w:pStyle w:val="31"/>
              <w:spacing w:line="360" w:lineRule="auto"/>
              <w:rPr>
                <w:rFonts w:ascii="宋体" w:hAnsi="宋体"/>
                <w:sz w:val="21"/>
                <w:szCs w:val="21"/>
                <w:highlight w:val="none"/>
              </w:rPr>
            </w:pPr>
            <w:r>
              <w:rPr>
                <w:rFonts w:ascii="宋体" w:hAnsi="宋体"/>
                <w:sz w:val="21"/>
                <w:szCs w:val="21"/>
                <w:highlight w:val="none"/>
              </w:rPr>
              <w:t>（四）项目预算的评审</w:t>
            </w:r>
          </w:p>
          <w:p w14:paraId="1768B702">
            <w:pPr>
              <w:pStyle w:val="31"/>
              <w:spacing w:line="360" w:lineRule="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项目预算评审包括对项目建设程序、建筑安装工程预算、设备投资预算和其他投资预算等的评审</w:t>
            </w:r>
            <w:r>
              <w:rPr>
                <w:rFonts w:ascii="宋体" w:hAnsi="宋体"/>
                <w:sz w:val="21"/>
                <w:szCs w:val="21"/>
                <w:highlight w:val="none"/>
              </w:rPr>
              <w:t>。</w:t>
            </w:r>
          </w:p>
          <w:p w14:paraId="274191E8">
            <w:pPr>
              <w:pStyle w:val="31"/>
              <w:spacing w:line="360" w:lineRule="auto"/>
              <w:rPr>
                <w:rFonts w:ascii="宋体" w:hAnsi="宋体"/>
                <w:sz w:val="21"/>
                <w:szCs w:val="21"/>
                <w:highlight w:val="none"/>
              </w:rPr>
            </w:pPr>
            <w:r>
              <w:rPr>
                <w:rFonts w:ascii="宋体" w:hAnsi="宋体"/>
                <w:sz w:val="21"/>
                <w:szCs w:val="21"/>
                <w:highlight w:val="none"/>
              </w:rPr>
              <w:t>2．项目预算应由项目建设单位提供，项目建设单位委托其他单位编制项目预算的，由项目建设单位确认后报送财政部门委托的入围供应商（评审机构）进行评审。</w:t>
            </w:r>
          </w:p>
          <w:p w14:paraId="19874461">
            <w:pPr>
              <w:pStyle w:val="31"/>
              <w:spacing w:line="360" w:lineRule="auto"/>
              <w:rPr>
                <w:rFonts w:ascii="宋体" w:hAnsi="宋体"/>
                <w:sz w:val="21"/>
                <w:szCs w:val="21"/>
                <w:highlight w:val="none"/>
              </w:rPr>
            </w:pPr>
            <w:r>
              <w:rPr>
                <w:rFonts w:ascii="宋体" w:hAnsi="宋体"/>
                <w:sz w:val="21"/>
                <w:szCs w:val="21"/>
                <w:highlight w:val="none"/>
              </w:rPr>
              <w:t>3．项目建设程序评审包括对项目立项、项目可行性报告、项目初步设计概算、项目征地拆迁等批准文件的程序性评审。</w:t>
            </w:r>
          </w:p>
          <w:p w14:paraId="75570192">
            <w:pPr>
              <w:pStyle w:val="31"/>
              <w:spacing w:line="360" w:lineRule="auto"/>
              <w:rPr>
                <w:rFonts w:ascii="宋体" w:hAnsi="宋体"/>
                <w:sz w:val="21"/>
                <w:szCs w:val="21"/>
                <w:highlight w:val="none"/>
              </w:rPr>
            </w:pPr>
            <w:r>
              <w:rPr>
                <w:rFonts w:ascii="宋体" w:hAnsi="宋体"/>
                <w:sz w:val="21"/>
                <w:szCs w:val="21"/>
                <w:highlight w:val="none"/>
              </w:rPr>
              <w:t>4．建筑安装工程预算评审包括对工程量计算、预算定额选用、取费及材料价格等进行评审。</w:t>
            </w:r>
          </w:p>
          <w:p w14:paraId="25E4310E">
            <w:pPr>
              <w:pStyle w:val="31"/>
              <w:spacing w:line="360" w:lineRule="auto"/>
              <w:rPr>
                <w:rFonts w:ascii="宋体" w:hAnsi="宋体"/>
                <w:sz w:val="21"/>
                <w:szCs w:val="21"/>
                <w:highlight w:val="none"/>
              </w:rPr>
            </w:pPr>
            <w:r>
              <w:rPr>
                <w:rFonts w:ascii="宋体" w:hAnsi="宋体"/>
                <w:sz w:val="21"/>
                <w:szCs w:val="21"/>
                <w:highlight w:val="none"/>
              </w:rPr>
              <w:t>(1)工程量计算的评审包括：</w:t>
            </w:r>
          </w:p>
          <w:p w14:paraId="3E3AB908">
            <w:pPr>
              <w:pStyle w:val="31"/>
              <w:spacing w:line="360" w:lineRule="auto"/>
              <w:rPr>
                <w:rFonts w:ascii="宋体" w:hAnsi="宋体"/>
                <w:sz w:val="21"/>
                <w:szCs w:val="21"/>
                <w:highlight w:val="none"/>
              </w:rPr>
            </w:pPr>
            <w:r>
              <w:rPr>
                <w:rFonts w:ascii="宋体" w:hAnsi="宋体"/>
                <w:sz w:val="21"/>
                <w:szCs w:val="21"/>
                <w:highlight w:val="none"/>
              </w:rPr>
              <w:t>①　审查施工图工程量计算规则的选用是否正确；</w:t>
            </w:r>
          </w:p>
          <w:p w14:paraId="6DD944AA">
            <w:pPr>
              <w:pStyle w:val="31"/>
              <w:spacing w:line="360" w:lineRule="auto"/>
              <w:rPr>
                <w:rFonts w:ascii="宋体" w:hAnsi="宋体"/>
                <w:sz w:val="21"/>
                <w:szCs w:val="21"/>
                <w:highlight w:val="none"/>
              </w:rPr>
            </w:pPr>
            <w:r>
              <w:rPr>
                <w:rFonts w:ascii="宋体" w:hAnsi="宋体"/>
                <w:sz w:val="21"/>
                <w:szCs w:val="21"/>
                <w:highlight w:val="none"/>
              </w:rPr>
              <w:t>②　审查工程量的计算是否存在重复计算及多算、少算、漏算等现象；</w:t>
            </w:r>
          </w:p>
          <w:p w14:paraId="432C2904">
            <w:pPr>
              <w:pStyle w:val="31"/>
              <w:spacing w:line="360" w:lineRule="auto"/>
              <w:rPr>
                <w:rFonts w:ascii="宋体" w:hAnsi="宋体"/>
                <w:sz w:val="21"/>
                <w:szCs w:val="21"/>
                <w:highlight w:val="none"/>
              </w:rPr>
            </w:pPr>
            <w:r>
              <w:rPr>
                <w:rFonts w:ascii="宋体" w:hAnsi="宋体"/>
                <w:sz w:val="21"/>
                <w:szCs w:val="21"/>
                <w:highlight w:val="none"/>
              </w:rPr>
              <w:t>③　审查工程量汇总计算是否正确、合理；</w:t>
            </w:r>
          </w:p>
          <w:p w14:paraId="102E50A7">
            <w:pPr>
              <w:pStyle w:val="31"/>
              <w:spacing w:line="360" w:lineRule="auto"/>
              <w:rPr>
                <w:rFonts w:ascii="宋体" w:hAnsi="宋体"/>
                <w:sz w:val="21"/>
                <w:szCs w:val="21"/>
                <w:highlight w:val="none"/>
              </w:rPr>
            </w:pPr>
            <w:r>
              <w:rPr>
                <w:rFonts w:ascii="宋体" w:hAnsi="宋体"/>
                <w:sz w:val="21"/>
                <w:szCs w:val="21"/>
                <w:highlight w:val="none"/>
              </w:rPr>
              <w:t>④　审查施工图设计中是否存在擅自扩大建设规模、提高建设标准等现象。</w:t>
            </w:r>
          </w:p>
          <w:p w14:paraId="5BD8D41C">
            <w:pPr>
              <w:pStyle w:val="31"/>
              <w:spacing w:line="360" w:lineRule="auto"/>
              <w:rPr>
                <w:rFonts w:ascii="宋体" w:hAnsi="宋体"/>
                <w:sz w:val="21"/>
                <w:szCs w:val="21"/>
                <w:highlight w:val="none"/>
              </w:rPr>
            </w:pPr>
            <w:r>
              <w:rPr>
                <w:rFonts w:ascii="宋体" w:hAnsi="宋体"/>
                <w:sz w:val="21"/>
                <w:szCs w:val="21"/>
                <w:highlight w:val="none"/>
              </w:rPr>
              <w:t>(2)定额套用、取费和材料价格的评审包括：</w:t>
            </w:r>
          </w:p>
          <w:p w14:paraId="284E0DEA">
            <w:pPr>
              <w:pStyle w:val="31"/>
              <w:spacing w:line="360" w:lineRule="auto"/>
              <w:rPr>
                <w:rFonts w:ascii="宋体" w:hAnsi="宋体"/>
                <w:sz w:val="21"/>
                <w:szCs w:val="21"/>
                <w:highlight w:val="none"/>
              </w:rPr>
            </w:pPr>
            <w:r>
              <w:rPr>
                <w:rFonts w:ascii="宋体" w:hAnsi="宋体"/>
                <w:sz w:val="21"/>
                <w:szCs w:val="21"/>
                <w:highlight w:val="none"/>
              </w:rPr>
              <w:t>①　审查是否存在高套、错套定额现象；</w:t>
            </w:r>
          </w:p>
          <w:p w14:paraId="55789862">
            <w:pPr>
              <w:pStyle w:val="31"/>
              <w:spacing w:line="360" w:lineRule="auto"/>
              <w:rPr>
                <w:rFonts w:ascii="宋体" w:hAnsi="宋体"/>
                <w:sz w:val="21"/>
                <w:szCs w:val="21"/>
                <w:highlight w:val="none"/>
              </w:rPr>
            </w:pPr>
            <w:r>
              <w:rPr>
                <w:rFonts w:ascii="宋体" w:hAnsi="宋体"/>
                <w:sz w:val="21"/>
                <w:szCs w:val="21"/>
                <w:highlight w:val="none"/>
              </w:rPr>
              <w:t>②　审查是否按照有关规定计取工程间接费用及税金；</w:t>
            </w:r>
          </w:p>
          <w:p w14:paraId="0E7AC14B">
            <w:pPr>
              <w:pStyle w:val="31"/>
              <w:spacing w:line="360" w:lineRule="auto"/>
              <w:rPr>
                <w:rFonts w:ascii="宋体" w:hAnsi="宋体"/>
                <w:sz w:val="21"/>
                <w:szCs w:val="21"/>
                <w:highlight w:val="none"/>
              </w:rPr>
            </w:pPr>
            <w:r>
              <w:rPr>
                <w:rFonts w:ascii="宋体" w:hAnsi="宋体"/>
                <w:sz w:val="21"/>
                <w:szCs w:val="21"/>
                <w:highlight w:val="none"/>
              </w:rPr>
              <w:t>③　审查材料价格的计取是否正确。</w:t>
            </w:r>
          </w:p>
          <w:p w14:paraId="16561DFC">
            <w:pPr>
              <w:pStyle w:val="31"/>
              <w:spacing w:line="360" w:lineRule="auto"/>
              <w:rPr>
                <w:rFonts w:ascii="宋体" w:hAnsi="宋体"/>
                <w:sz w:val="21"/>
                <w:szCs w:val="21"/>
                <w:highlight w:val="none"/>
              </w:rPr>
            </w:pPr>
            <w:r>
              <w:rPr>
                <w:rFonts w:ascii="宋体" w:hAnsi="宋体"/>
                <w:sz w:val="21"/>
                <w:szCs w:val="21"/>
                <w:highlight w:val="none"/>
              </w:rPr>
              <w:t>5．设备投资预算评审，主要对设备型号、规格、数量及价格进行评审。</w:t>
            </w:r>
          </w:p>
          <w:p w14:paraId="6A3F082F">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6</w:t>
            </w:r>
            <w:r>
              <w:rPr>
                <w:rFonts w:ascii="宋体" w:hAnsi="宋体"/>
                <w:sz w:val="21"/>
                <w:szCs w:val="21"/>
                <w:highlight w:val="none"/>
              </w:rPr>
              <w:t>．部分项目发生的特殊费用，应视项目建设的具体情况和有关部门的批复意见进行评审。</w:t>
            </w:r>
          </w:p>
          <w:p w14:paraId="0F29DA1B">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7</w:t>
            </w:r>
            <w:r>
              <w:rPr>
                <w:rFonts w:ascii="宋体" w:hAnsi="宋体"/>
                <w:sz w:val="21"/>
                <w:szCs w:val="21"/>
                <w:highlight w:val="none"/>
              </w:rPr>
              <w:t>．及时披露重大预算问题。</w:t>
            </w:r>
          </w:p>
          <w:p w14:paraId="53A0E7EB">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8</w:t>
            </w:r>
            <w:r>
              <w:rPr>
                <w:rFonts w:ascii="宋体" w:hAnsi="宋体"/>
                <w:sz w:val="21"/>
                <w:szCs w:val="21"/>
                <w:highlight w:val="none"/>
              </w:rPr>
              <w:t>．参与财审部门组织的各种对数、评审会议。</w:t>
            </w:r>
          </w:p>
          <w:p w14:paraId="5EEDFF5B">
            <w:pPr>
              <w:pStyle w:val="31"/>
              <w:spacing w:line="360" w:lineRule="auto"/>
              <w:rPr>
                <w:rFonts w:ascii="宋体" w:hAnsi="宋体"/>
                <w:sz w:val="21"/>
                <w:szCs w:val="21"/>
                <w:highlight w:val="none"/>
              </w:rPr>
            </w:pPr>
            <w:r>
              <w:rPr>
                <w:rFonts w:hint="eastAsia" w:ascii="宋体" w:hAnsi="宋体"/>
                <w:sz w:val="21"/>
                <w:szCs w:val="21"/>
                <w:highlight w:val="none"/>
                <w:lang w:val="en-US" w:eastAsia="zh-CN"/>
              </w:rPr>
              <w:t>9</w:t>
            </w:r>
            <w:r>
              <w:rPr>
                <w:rFonts w:ascii="宋体" w:hAnsi="宋体"/>
                <w:sz w:val="21"/>
                <w:szCs w:val="21"/>
                <w:highlight w:val="none"/>
              </w:rPr>
              <w:t>．出具符合财审部门要求的结论报告。</w:t>
            </w:r>
          </w:p>
          <w:p w14:paraId="6B6A2FDB">
            <w:pPr>
              <w:pStyle w:val="31"/>
              <w:spacing w:line="360" w:lineRule="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lang w:val="en-US" w:eastAsia="zh-CN"/>
              </w:rPr>
              <w:t>0</w:t>
            </w:r>
            <w:r>
              <w:rPr>
                <w:rFonts w:ascii="宋体" w:hAnsi="宋体"/>
                <w:sz w:val="21"/>
                <w:szCs w:val="21"/>
                <w:highlight w:val="none"/>
              </w:rPr>
              <w:t>．对已招投标或已签订相关合同的项目进行预算评审时，应对招标文件、过程和相关合同的合法性进行评审，并据此核定项目预算。</w:t>
            </w:r>
          </w:p>
          <w:p w14:paraId="63BAD0AE">
            <w:pPr>
              <w:pStyle w:val="31"/>
              <w:spacing w:line="360" w:lineRule="auto"/>
              <w:rPr>
                <w:rFonts w:ascii="宋体" w:hAnsi="宋体"/>
                <w:sz w:val="21"/>
                <w:szCs w:val="21"/>
                <w:highlight w:val="none"/>
              </w:rPr>
            </w:pPr>
            <w:r>
              <w:rPr>
                <w:rFonts w:ascii="宋体" w:hAnsi="宋体"/>
                <w:sz w:val="21"/>
                <w:szCs w:val="21"/>
                <w:highlight w:val="none"/>
              </w:rPr>
              <w:t>（五）竣工财务决算评审</w:t>
            </w:r>
          </w:p>
          <w:p w14:paraId="10E48140">
            <w:pPr>
              <w:pStyle w:val="31"/>
              <w:spacing w:line="360" w:lineRule="auto"/>
              <w:rPr>
                <w:rFonts w:ascii="宋体" w:hAnsi="宋体"/>
                <w:sz w:val="21"/>
                <w:szCs w:val="21"/>
                <w:highlight w:val="none"/>
              </w:rPr>
            </w:pPr>
            <w:r>
              <w:rPr>
                <w:rFonts w:ascii="宋体" w:hAnsi="宋体"/>
                <w:sz w:val="21"/>
                <w:szCs w:val="21"/>
                <w:highlight w:val="none"/>
              </w:rPr>
              <w:t>1.工程竣工财务决算评审应以《基本建设财务规则》（中华人民共和国财政部令第81号）、《基本建设项目竣工财务决算管理暂行办法》（财建【2016】503号）、《基本建设项目建设成本管理规定》（财建【2016】504号）、《财政投资评审管理规定》（财建【2009】648号）、国家和地方其他相关法律、法规作为评审依据。应重点审查以下内容：</w:t>
            </w:r>
          </w:p>
          <w:p w14:paraId="293F2627">
            <w:pPr>
              <w:pStyle w:val="31"/>
              <w:spacing w:line="360" w:lineRule="auto"/>
              <w:rPr>
                <w:rFonts w:hint="eastAsia" w:ascii="宋体" w:hAnsi="宋体" w:eastAsiaTheme="minorEastAsia"/>
                <w:sz w:val="21"/>
                <w:szCs w:val="21"/>
                <w:highlight w:val="none"/>
                <w:lang w:eastAsia="zh-CN"/>
              </w:rPr>
            </w:pPr>
            <w:r>
              <w:rPr>
                <w:rFonts w:ascii="宋体" w:hAnsi="宋体"/>
                <w:sz w:val="21"/>
                <w:szCs w:val="21"/>
                <w:highlight w:val="none"/>
              </w:rPr>
              <w:t>(1)工程价款结算是否按照合同约定和国家有关规定进行</w:t>
            </w:r>
            <w:r>
              <w:rPr>
                <w:rFonts w:hint="eastAsia" w:ascii="宋体" w:hAnsi="宋体"/>
                <w:sz w:val="21"/>
                <w:szCs w:val="21"/>
                <w:highlight w:val="none"/>
                <w:lang w:eastAsia="zh-CN"/>
              </w:rPr>
              <w:t>；</w:t>
            </w:r>
          </w:p>
          <w:p w14:paraId="76A77EF4">
            <w:pPr>
              <w:pStyle w:val="31"/>
              <w:spacing w:line="360" w:lineRule="auto"/>
              <w:rPr>
                <w:rFonts w:ascii="宋体" w:hAnsi="宋体"/>
                <w:sz w:val="21"/>
                <w:szCs w:val="21"/>
                <w:highlight w:val="none"/>
              </w:rPr>
            </w:pPr>
            <w:r>
              <w:rPr>
                <w:rFonts w:ascii="宋体" w:hAnsi="宋体"/>
                <w:sz w:val="21"/>
                <w:szCs w:val="21"/>
                <w:highlight w:val="none"/>
              </w:rPr>
              <w:t>(2)待摊费用支出及其分摊是否合理、正确；</w:t>
            </w:r>
          </w:p>
          <w:p w14:paraId="12BE6036">
            <w:pPr>
              <w:pStyle w:val="31"/>
              <w:spacing w:line="360" w:lineRule="auto"/>
              <w:rPr>
                <w:rFonts w:ascii="宋体" w:hAnsi="宋体"/>
                <w:sz w:val="21"/>
                <w:szCs w:val="21"/>
                <w:highlight w:val="none"/>
              </w:rPr>
            </w:pPr>
            <w:r>
              <w:rPr>
                <w:rFonts w:ascii="宋体" w:hAnsi="宋体"/>
                <w:sz w:val="21"/>
                <w:szCs w:val="21"/>
                <w:highlight w:val="none"/>
              </w:rPr>
              <w:t>(3)项目是否按照批准的概算（预算）内容实施，有无超标准、超规模、超概（预）算建设现象；</w:t>
            </w:r>
          </w:p>
          <w:p w14:paraId="2C7DBDFA">
            <w:pPr>
              <w:pStyle w:val="31"/>
              <w:spacing w:line="360" w:lineRule="auto"/>
              <w:rPr>
                <w:rFonts w:ascii="宋体" w:hAnsi="宋体"/>
                <w:sz w:val="21"/>
                <w:szCs w:val="21"/>
                <w:highlight w:val="none"/>
              </w:rPr>
            </w:pPr>
            <w:r>
              <w:rPr>
                <w:rFonts w:ascii="宋体" w:hAnsi="宋体"/>
                <w:sz w:val="21"/>
                <w:szCs w:val="21"/>
                <w:highlight w:val="none"/>
              </w:rPr>
              <w:t>(4)项目资金是否全部到位，核算是否规范，资金使用是否合理，有无挤占、挪用现象；</w:t>
            </w:r>
          </w:p>
          <w:p w14:paraId="6EEDE8CC">
            <w:pPr>
              <w:pStyle w:val="31"/>
              <w:spacing w:line="360" w:lineRule="auto"/>
              <w:rPr>
                <w:rFonts w:ascii="宋体" w:hAnsi="宋体"/>
                <w:sz w:val="21"/>
                <w:szCs w:val="21"/>
                <w:highlight w:val="none"/>
              </w:rPr>
            </w:pPr>
            <w:r>
              <w:rPr>
                <w:rFonts w:ascii="宋体" w:hAnsi="宋体"/>
                <w:sz w:val="21"/>
                <w:szCs w:val="21"/>
                <w:highlight w:val="none"/>
              </w:rPr>
              <w:t>(5)项目形成资产是否全面反映，计价是否准确，资产接受单位是否落实；</w:t>
            </w:r>
          </w:p>
          <w:p w14:paraId="3808D72A">
            <w:pPr>
              <w:pStyle w:val="31"/>
              <w:spacing w:line="360" w:lineRule="auto"/>
              <w:rPr>
                <w:rFonts w:ascii="宋体" w:hAnsi="宋体"/>
                <w:sz w:val="21"/>
                <w:szCs w:val="21"/>
                <w:highlight w:val="none"/>
              </w:rPr>
            </w:pPr>
            <w:r>
              <w:rPr>
                <w:rFonts w:ascii="宋体" w:hAnsi="宋体"/>
                <w:sz w:val="21"/>
                <w:szCs w:val="21"/>
                <w:highlight w:val="none"/>
              </w:rPr>
              <w:t>(6)项目在建设过程中历次检查和审计所提的重大问题是否已经整改落实；</w:t>
            </w:r>
          </w:p>
          <w:p w14:paraId="4633463E">
            <w:pPr>
              <w:pStyle w:val="31"/>
              <w:spacing w:line="360" w:lineRule="auto"/>
              <w:rPr>
                <w:rFonts w:ascii="宋体" w:hAnsi="宋体"/>
                <w:sz w:val="21"/>
                <w:szCs w:val="21"/>
                <w:highlight w:val="none"/>
              </w:rPr>
            </w:pPr>
            <w:r>
              <w:rPr>
                <w:rFonts w:ascii="宋体" w:hAnsi="宋体"/>
                <w:sz w:val="21"/>
                <w:szCs w:val="21"/>
                <w:highlight w:val="none"/>
              </w:rPr>
              <w:t>(7)待核销基建支出和转出投资有无依据，是否合理；</w:t>
            </w:r>
          </w:p>
          <w:p w14:paraId="381A8626">
            <w:pPr>
              <w:pStyle w:val="31"/>
              <w:spacing w:line="360" w:lineRule="auto"/>
              <w:rPr>
                <w:rFonts w:ascii="宋体" w:hAnsi="宋体"/>
                <w:sz w:val="21"/>
                <w:szCs w:val="21"/>
                <w:highlight w:val="none"/>
              </w:rPr>
            </w:pPr>
            <w:r>
              <w:rPr>
                <w:rFonts w:ascii="宋体" w:hAnsi="宋体"/>
                <w:sz w:val="21"/>
                <w:szCs w:val="21"/>
                <w:highlight w:val="none"/>
              </w:rPr>
              <w:t>(8)竣工财务决算报表所填列的数据是否完整，表间勾稽关系是否清晰、正确；</w:t>
            </w:r>
          </w:p>
          <w:p w14:paraId="6C994089">
            <w:pPr>
              <w:pStyle w:val="31"/>
              <w:spacing w:line="360" w:lineRule="auto"/>
              <w:rPr>
                <w:rFonts w:ascii="宋体" w:hAnsi="宋体"/>
                <w:sz w:val="21"/>
                <w:szCs w:val="21"/>
                <w:highlight w:val="none"/>
              </w:rPr>
            </w:pPr>
            <w:r>
              <w:rPr>
                <w:rFonts w:ascii="宋体" w:hAnsi="宋体"/>
                <w:sz w:val="21"/>
                <w:szCs w:val="21"/>
                <w:highlight w:val="none"/>
              </w:rPr>
              <w:t>(9)尾工工程及预留费用是否控制在概算确定的范围内，预留的金额和比例是否合理；</w:t>
            </w:r>
          </w:p>
          <w:p w14:paraId="4E4DB4B7">
            <w:pPr>
              <w:pStyle w:val="31"/>
              <w:spacing w:line="360" w:lineRule="auto"/>
              <w:rPr>
                <w:rFonts w:ascii="宋体" w:hAnsi="宋体"/>
                <w:sz w:val="21"/>
                <w:szCs w:val="21"/>
                <w:highlight w:val="none"/>
              </w:rPr>
            </w:pPr>
            <w:r>
              <w:rPr>
                <w:rFonts w:ascii="宋体" w:hAnsi="宋体"/>
                <w:sz w:val="21"/>
                <w:szCs w:val="21"/>
                <w:highlight w:val="none"/>
              </w:rPr>
              <w:t>(10)项目建设是否履行基本建设程序，是否符合国家有关建设管理制度要求等；</w:t>
            </w:r>
          </w:p>
          <w:p w14:paraId="161AAE85">
            <w:pPr>
              <w:pStyle w:val="31"/>
              <w:spacing w:line="360" w:lineRule="auto"/>
              <w:rPr>
                <w:rFonts w:ascii="宋体" w:hAnsi="宋体"/>
                <w:sz w:val="21"/>
                <w:szCs w:val="21"/>
                <w:highlight w:val="none"/>
              </w:rPr>
            </w:pPr>
            <w:r>
              <w:rPr>
                <w:rFonts w:ascii="宋体" w:hAnsi="宋体"/>
                <w:sz w:val="21"/>
                <w:szCs w:val="21"/>
                <w:highlight w:val="none"/>
              </w:rPr>
              <w:t>(11)决算的内容和格式是否符合国家有关规定；</w:t>
            </w:r>
          </w:p>
          <w:p w14:paraId="18A5D639">
            <w:pPr>
              <w:pStyle w:val="31"/>
              <w:spacing w:line="360" w:lineRule="auto"/>
              <w:rPr>
                <w:rFonts w:ascii="宋体" w:hAnsi="宋体"/>
                <w:sz w:val="21"/>
                <w:szCs w:val="21"/>
                <w:highlight w:val="none"/>
              </w:rPr>
            </w:pPr>
            <w:r>
              <w:rPr>
                <w:rFonts w:ascii="宋体" w:hAnsi="宋体"/>
                <w:sz w:val="21"/>
                <w:szCs w:val="21"/>
                <w:highlight w:val="none"/>
              </w:rPr>
              <w:t>(12)决算资料报送是否完整、决算数据间是否存在错误；</w:t>
            </w:r>
          </w:p>
          <w:p w14:paraId="2D17FB23">
            <w:pPr>
              <w:pStyle w:val="31"/>
              <w:spacing w:line="360" w:lineRule="auto"/>
              <w:rPr>
                <w:rFonts w:ascii="宋体" w:hAnsi="宋体"/>
                <w:sz w:val="21"/>
                <w:szCs w:val="21"/>
                <w:highlight w:val="none"/>
              </w:rPr>
            </w:pPr>
            <w:r>
              <w:rPr>
                <w:rFonts w:ascii="宋体" w:hAnsi="宋体"/>
                <w:sz w:val="21"/>
                <w:szCs w:val="21"/>
                <w:highlight w:val="none"/>
              </w:rPr>
              <w:t>(13)相关主管部门或者第三方专业机构是否出具评审意见。</w:t>
            </w:r>
          </w:p>
          <w:p w14:paraId="0C0A2A8F">
            <w:pPr>
              <w:pStyle w:val="31"/>
              <w:spacing w:line="360" w:lineRule="auto"/>
              <w:rPr>
                <w:rFonts w:ascii="宋体" w:hAnsi="宋体"/>
                <w:sz w:val="21"/>
                <w:szCs w:val="21"/>
                <w:highlight w:val="none"/>
              </w:rPr>
            </w:pPr>
            <w:r>
              <w:rPr>
                <w:rFonts w:ascii="宋体" w:hAnsi="宋体"/>
                <w:sz w:val="21"/>
                <w:szCs w:val="21"/>
                <w:highlight w:val="none"/>
              </w:rPr>
              <w:t>2.及时披露重大问题。</w:t>
            </w:r>
          </w:p>
          <w:p w14:paraId="7D0F764E">
            <w:pPr>
              <w:pStyle w:val="31"/>
              <w:spacing w:line="360" w:lineRule="auto"/>
              <w:rPr>
                <w:rFonts w:ascii="宋体" w:hAnsi="宋体"/>
                <w:sz w:val="21"/>
                <w:szCs w:val="21"/>
                <w:highlight w:val="none"/>
              </w:rPr>
            </w:pPr>
            <w:r>
              <w:rPr>
                <w:rFonts w:ascii="宋体" w:hAnsi="宋体"/>
                <w:sz w:val="21"/>
                <w:szCs w:val="21"/>
                <w:highlight w:val="none"/>
              </w:rPr>
              <w:t>3.参与财审部门组织的各种对数、评审会议。</w:t>
            </w:r>
          </w:p>
          <w:p w14:paraId="553A7DAE">
            <w:pPr>
              <w:pStyle w:val="31"/>
              <w:spacing w:line="360" w:lineRule="auto"/>
              <w:rPr>
                <w:rFonts w:ascii="宋体" w:hAnsi="宋体"/>
                <w:sz w:val="21"/>
                <w:szCs w:val="21"/>
                <w:highlight w:val="none"/>
              </w:rPr>
            </w:pPr>
            <w:r>
              <w:rPr>
                <w:rFonts w:ascii="宋体" w:hAnsi="宋体"/>
                <w:sz w:val="21"/>
                <w:szCs w:val="21"/>
                <w:highlight w:val="none"/>
              </w:rPr>
              <w:t>4.出具符合财审部门要求的结论报告。</w:t>
            </w:r>
          </w:p>
          <w:p w14:paraId="3FF4530E">
            <w:pPr>
              <w:pStyle w:val="31"/>
              <w:spacing w:line="360" w:lineRule="auto"/>
              <w:rPr>
                <w:rFonts w:ascii="宋体" w:hAnsi="宋体"/>
                <w:sz w:val="21"/>
                <w:szCs w:val="21"/>
                <w:highlight w:val="none"/>
              </w:rPr>
            </w:pPr>
            <w:r>
              <w:rPr>
                <w:rFonts w:ascii="宋体" w:hAnsi="宋体"/>
                <w:sz w:val="21"/>
                <w:szCs w:val="21"/>
                <w:highlight w:val="none"/>
              </w:rPr>
              <w:t>（七）项目评审时限</w:t>
            </w:r>
          </w:p>
          <w:p w14:paraId="1B230792">
            <w:pPr>
              <w:pStyle w:val="31"/>
              <w:spacing w:line="360" w:lineRule="auto"/>
              <w:rPr>
                <w:rFonts w:ascii="宋体" w:hAnsi="宋体"/>
                <w:sz w:val="21"/>
                <w:szCs w:val="21"/>
                <w:highlight w:val="none"/>
              </w:rPr>
            </w:pPr>
            <w:r>
              <w:rPr>
                <w:rFonts w:ascii="宋体" w:hAnsi="宋体"/>
                <w:sz w:val="21"/>
                <w:szCs w:val="21"/>
                <w:highlight w:val="none"/>
              </w:rPr>
              <w:t>项目评审时限是指评审资料移交的当日至入围供应商（评审机构）向财政部门提交书面或电子版项目审核初稿的时间，项目评审时限按以下原则确定：</w:t>
            </w:r>
          </w:p>
          <w:p w14:paraId="29E62A75">
            <w:pPr>
              <w:pStyle w:val="31"/>
              <w:spacing w:line="360" w:lineRule="auto"/>
              <w:rPr>
                <w:rFonts w:ascii="宋体" w:hAnsi="宋体"/>
                <w:sz w:val="21"/>
                <w:szCs w:val="21"/>
                <w:highlight w:val="none"/>
              </w:rPr>
            </w:pPr>
            <w:r>
              <w:rPr>
                <w:rFonts w:ascii="宋体" w:hAnsi="宋体"/>
                <w:sz w:val="21"/>
                <w:szCs w:val="21"/>
                <w:highlight w:val="none"/>
              </w:rPr>
              <w:t>1、概算：</w:t>
            </w:r>
          </w:p>
          <w:p w14:paraId="7DF789BD">
            <w:pPr>
              <w:pStyle w:val="31"/>
              <w:spacing w:line="360" w:lineRule="auto"/>
              <w:rPr>
                <w:rFonts w:ascii="宋体" w:hAnsi="宋体"/>
                <w:sz w:val="21"/>
                <w:szCs w:val="21"/>
                <w:highlight w:val="none"/>
              </w:rPr>
            </w:pPr>
            <w:r>
              <w:rPr>
                <w:rFonts w:ascii="宋体" w:hAnsi="宋体"/>
                <w:sz w:val="21"/>
                <w:szCs w:val="21"/>
                <w:highlight w:val="none"/>
              </w:rPr>
              <w:t>（1）送审金额200万元（含）以下的，5个工作日内完成；</w:t>
            </w:r>
          </w:p>
          <w:p w14:paraId="1C6C238E">
            <w:pPr>
              <w:pStyle w:val="31"/>
              <w:spacing w:line="360" w:lineRule="auto"/>
              <w:rPr>
                <w:rFonts w:ascii="宋体" w:hAnsi="宋体"/>
                <w:sz w:val="21"/>
                <w:szCs w:val="21"/>
                <w:highlight w:val="none"/>
              </w:rPr>
            </w:pPr>
            <w:r>
              <w:rPr>
                <w:rFonts w:ascii="宋体" w:hAnsi="宋体"/>
                <w:sz w:val="21"/>
                <w:szCs w:val="21"/>
                <w:highlight w:val="none"/>
              </w:rPr>
              <w:t>（2）送审金额200-1000万元（含）的，7个工作日内完成；</w:t>
            </w:r>
          </w:p>
          <w:p w14:paraId="7B9CB6DB">
            <w:pPr>
              <w:pStyle w:val="31"/>
              <w:spacing w:line="360" w:lineRule="auto"/>
              <w:rPr>
                <w:rFonts w:ascii="宋体" w:hAnsi="宋体"/>
                <w:sz w:val="21"/>
                <w:szCs w:val="21"/>
                <w:highlight w:val="none"/>
              </w:rPr>
            </w:pPr>
            <w:r>
              <w:rPr>
                <w:rFonts w:ascii="宋体" w:hAnsi="宋体"/>
                <w:sz w:val="21"/>
                <w:szCs w:val="21"/>
                <w:highlight w:val="none"/>
              </w:rPr>
              <w:t>（3）送审金额1000-5000万元（含）的，13个工作日内完成；</w:t>
            </w:r>
          </w:p>
          <w:p w14:paraId="461FD935">
            <w:pPr>
              <w:pStyle w:val="31"/>
              <w:spacing w:line="360" w:lineRule="auto"/>
              <w:rPr>
                <w:rFonts w:ascii="宋体" w:hAnsi="宋体"/>
                <w:sz w:val="21"/>
                <w:szCs w:val="21"/>
                <w:highlight w:val="none"/>
              </w:rPr>
            </w:pPr>
            <w:r>
              <w:rPr>
                <w:rFonts w:ascii="宋体" w:hAnsi="宋体"/>
                <w:sz w:val="21"/>
                <w:szCs w:val="21"/>
                <w:highlight w:val="none"/>
              </w:rPr>
              <w:t>（4）送审金额5000万元以上的，20个工作日内完成。</w:t>
            </w:r>
          </w:p>
          <w:p w14:paraId="4EDCA497">
            <w:pPr>
              <w:pStyle w:val="31"/>
              <w:spacing w:line="360" w:lineRule="auto"/>
              <w:rPr>
                <w:rFonts w:ascii="宋体" w:hAnsi="宋体"/>
                <w:sz w:val="21"/>
                <w:szCs w:val="21"/>
                <w:highlight w:val="none"/>
              </w:rPr>
            </w:pPr>
            <w:r>
              <w:rPr>
                <w:rFonts w:ascii="宋体" w:hAnsi="宋体"/>
                <w:sz w:val="21"/>
                <w:szCs w:val="21"/>
                <w:highlight w:val="none"/>
              </w:rPr>
              <w:t>2、预算、财务决算：</w:t>
            </w:r>
          </w:p>
          <w:p w14:paraId="01A302A3">
            <w:pPr>
              <w:pStyle w:val="31"/>
              <w:spacing w:line="360" w:lineRule="auto"/>
              <w:rPr>
                <w:rFonts w:ascii="宋体" w:hAnsi="宋体"/>
                <w:sz w:val="21"/>
                <w:szCs w:val="21"/>
                <w:highlight w:val="none"/>
              </w:rPr>
            </w:pPr>
            <w:r>
              <w:rPr>
                <w:rFonts w:ascii="宋体" w:hAnsi="宋体"/>
                <w:sz w:val="21"/>
                <w:szCs w:val="21"/>
                <w:highlight w:val="none"/>
              </w:rPr>
              <w:t>（1）送审金额200万元（含）以下的，10个工作日内完成；</w:t>
            </w:r>
          </w:p>
          <w:p w14:paraId="65A8C928">
            <w:pPr>
              <w:pStyle w:val="31"/>
              <w:spacing w:line="360" w:lineRule="auto"/>
              <w:rPr>
                <w:rFonts w:ascii="宋体" w:hAnsi="宋体"/>
                <w:sz w:val="21"/>
                <w:szCs w:val="21"/>
                <w:highlight w:val="none"/>
              </w:rPr>
            </w:pPr>
            <w:r>
              <w:rPr>
                <w:rFonts w:ascii="宋体" w:hAnsi="宋体"/>
                <w:sz w:val="21"/>
                <w:szCs w:val="21"/>
                <w:highlight w:val="none"/>
              </w:rPr>
              <w:t>（2）送审金额200-1000万元（含）的，15个工作日内完成；</w:t>
            </w:r>
          </w:p>
          <w:p w14:paraId="1739E83D">
            <w:pPr>
              <w:pStyle w:val="31"/>
              <w:spacing w:line="360" w:lineRule="auto"/>
              <w:rPr>
                <w:rFonts w:ascii="宋体" w:hAnsi="宋体"/>
                <w:sz w:val="21"/>
                <w:szCs w:val="21"/>
                <w:highlight w:val="none"/>
              </w:rPr>
            </w:pPr>
            <w:r>
              <w:rPr>
                <w:rFonts w:ascii="宋体" w:hAnsi="宋体"/>
                <w:sz w:val="21"/>
                <w:szCs w:val="21"/>
                <w:highlight w:val="none"/>
              </w:rPr>
              <w:t>（3）送审金额1000－5000万元（含）的，20个工作日内完成；</w:t>
            </w:r>
          </w:p>
          <w:p w14:paraId="238F2FE6">
            <w:pPr>
              <w:pStyle w:val="31"/>
              <w:spacing w:line="360" w:lineRule="auto"/>
              <w:rPr>
                <w:rFonts w:ascii="宋体" w:hAnsi="宋体"/>
                <w:sz w:val="21"/>
                <w:szCs w:val="21"/>
                <w:highlight w:val="none"/>
              </w:rPr>
            </w:pPr>
            <w:r>
              <w:rPr>
                <w:rFonts w:ascii="宋体" w:hAnsi="宋体"/>
                <w:sz w:val="21"/>
                <w:szCs w:val="21"/>
                <w:highlight w:val="none"/>
              </w:rPr>
              <w:t>（4）送审金额5000万元以上的，30个工作日内完成。</w:t>
            </w:r>
          </w:p>
          <w:p w14:paraId="472D45D3">
            <w:pPr>
              <w:pStyle w:val="31"/>
              <w:spacing w:line="360" w:lineRule="auto"/>
              <w:rPr>
                <w:rFonts w:ascii="宋体" w:hAnsi="宋体"/>
                <w:sz w:val="21"/>
                <w:szCs w:val="21"/>
                <w:highlight w:val="none"/>
              </w:rPr>
            </w:pPr>
            <w:r>
              <w:rPr>
                <w:rFonts w:ascii="宋体" w:hAnsi="宋体"/>
                <w:sz w:val="21"/>
                <w:szCs w:val="21"/>
                <w:highlight w:val="none"/>
              </w:rPr>
              <w:t>若因特殊原因确需延长评审时间的，入围供应商（评审机构）应向财政部门提交书面申请，经财政部门批准后执行。入围供应商（评审机构）在收到审核项目一天内，如有特殊情况不能按时完成的，可提交退件申请，办理退件处理。如入围供应商（评审机构）不能按照上述规定的时间完成项目评审，每延迟一个工作日，则按项目审核费用的5%扣减审核费，直至扣完为止，造成的后果由入围供应商（评审机构）负责。</w:t>
            </w:r>
          </w:p>
          <w:p w14:paraId="2EDC7D21">
            <w:pPr>
              <w:pStyle w:val="31"/>
              <w:spacing w:line="360" w:lineRule="auto"/>
              <w:rPr>
                <w:rFonts w:ascii="宋体" w:hAnsi="宋体"/>
                <w:sz w:val="21"/>
                <w:szCs w:val="21"/>
                <w:highlight w:val="none"/>
              </w:rPr>
            </w:pPr>
            <w:r>
              <w:rPr>
                <w:rFonts w:ascii="宋体" w:hAnsi="宋体"/>
                <w:sz w:val="21"/>
                <w:szCs w:val="21"/>
                <w:highlight w:val="none"/>
              </w:rPr>
              <w:t>（八）项目评审报告</w:t>
            </w:r>
          </w:p>
          <w:p w14:paraId="5BB92DC8">
            <w:pPr>
              <w:pStyle w:val="31"/>
              <w:spacing w:line="360" w:lineRule="auto"/>
              <w:rPr>
                <w:rFonts w:ascii="宋体" w:hAnsi="宋体"/>
                <w:sz w:val="21"/>
                <w:szCs w:val="21"/>
                <w:highlight w:val="none"/>
              </w:rPr>
            </w:pPr>
            <w:r>
              <w:rPr>
                <w:rFonts w:ascii="宋体" w:hAnsi="宋体"/>
                <w:sz w:val="21"/>
                <w:szCs w:val="21"/>
                <w:highlight w:val="none"/>
              </w:rPr>
              <w:t>1．入围供应商（评审机构）在实施规定的评审程序后，应综合分析，形成评审结论，出具评审报告，并对评审结论的准确性、真实性、完整性负责。</w:t>
            </w:r>
          </w:p>
          <w:p w14:paraId="6A1E46D8">
            <w:pPr>
              <w:pStyle w:val="31"/>
              <w:spacing w:line="360" w:lineRule="auto"/>
              <w:rPr>
                <w:rFonts w:ascii="宋体" w:hAnsi="宋体"/>
                <w:sz w:val="21"/>
                <w:szCs w:val="21"/>
                <w:highlight w:val="none"/>
              </w:rPr>
            </w:pPr>
            <w:r>
              <w:rPr>
                <w:rFonts w:ascii="宋体" w:hAnsi="宋体"/>
                <w:sz w:val="21"/>
                <w:szCs w:val="21"/>
                <w:highlight w:val="none"/>
              </w:rPr>
              <w:t>2．评审报告为项目概算、预算和财务决算评审报告。</w:t>
            </w:r>
          </w:p>
          <w:p w14:paraId="2690A99B">
            <w:pPr>
              <w:pStyle w:val="31"/>
              <w:spacing w:line="360" w:lineRule="auto"/>
              <w:rPr>
                <w:rFonts w:ascii="宋体" w:hAnsi="宋体"/>
                <w:sz w:val="21"/>
                <w:szCs w:val="21"/>
                <w:highlight w:val="none"/>
              </w:rPr>
            </w:pPr>
            <w:r>
              <w:rPr>
                <w:rFonts w:ascii="宋体" w:hAnsi="宋体"/>
                <w:sz w:val="21"/>
                <w:szCs w:val="21"/>
                <w:highlight w:val="none"/>
              </w:rPr>
              <w:t>3．评审报告的基本内容包括封面、正文和附件三部分。</w:t>
            </w:r>
          </w:p>
          <w:p w14:paraId="16C770AF">
            <w:pPr>
              <w:pStyle w:val="31"/>
              <w:spacing w:line="360" w:lineRule="auto"/>
              <w:rPr>
                <w:rFonts w:ascii="宋体" w:hAnsi="宋体"/>
                <w:sz w:val="21"/>
                <w:szCs w:val="21"/>
                <w:highlight w:val="none"/>
              </w:rPr>
            </w:pPr>
            <w:r>
              <w:rPr>
                <w:rFonts w:ascii="宋体" w:hAnsi="宋体"/>
                <w:sz w:val="21"/>
                <w:szCs w:val="21"/>
                <w:highlight w:val="none"/>
              </w:rPr>
              <w:t>(1) 封面；</w:t>
            </w:r>
          </w:p>
          <w:p w14:paraId="7C3AA716">
            <w:pPr>
              <w:pStyle w:val="31"/>
              <w:spacing w:line="360" w:lineRule="auto"/>
              <w:rPr>
                <w:rFonts w:ascii="宋体" w:hAnsi="宋体"/>
                <w:sz w:val="21"/>
                <w:szCs w:val="21"/>
                <w:highlight w:val="none"/>
              </w:rPr>
            </w:pPr>
            <w:r>
              <w:rPr>
                <w:rFonts w:ascii="宋体" w:hAnsi="宋体"/>
                <w:sz w:val="21"/>
                <w:szCs w:val="21"/>
                <w:highlight w:val="none"/>
              </w:rPr>
              <w:t>(2) 正文主要包括:</w:t>
            </w:r>
          </w:p>
          <w:p w14:paraId="7128FC10">
            <w:pPr>
              <w:pStyle w:val="31"/>
              <w:spacing w:line="360" w:lineRule="auto"/>
              <w:rPr>
                <w:rFonts w:ascii="宋体" w:hAnsi="宋体"/>
                <w:sz w:val="21"/>
                <w:szCs w:val="21"/>
                <w:highlight w:val="none"/>
              </w:rPr>
            </w:pPr>
            <w:r>
              <w:rPr>
                <w:rFonts w:ascii="宋体" w:hAnsi="宋体"/>
                <w:sz w:val="21"/>
                <w:szCs w:val="21"/>
                <w:highlight w:val="none"/>
              </w:rPr>
              <w:t>①　目录。</w:t>
            </w:r>
          </w:p>
          <w:p w14:paraId="4C5AE26E">
            <w:pPr>
              <w:pStyle w:val="31"/>
              <w:spacing w:line="360" w:lineRule="auto"/>
              <w:rPr>
                <w:rFonts w:ascii="宋体" w:hAnsi="宋体"/>
                <w:sz w:val="21"/>
                <w:szCs w:val="21"/>
                <w:highlight w:val="none"/>
              </w:rPr>
            </w:pPr>
            <w:r>
              <w:rPr>
                <w:rFonts w:ascii="宋体" w:hAnsi="宋体"/>
                <w:sz w:val="21"/>
                <w:szCs w:val="21"/>
                <w:highlight w:val="none"/>
              </w:rPr>
              <w:t>②　评审依据。</w:t>
            </w:r>
          </w:p>
          <w:p w14:paraId="55AD7019">
            <w:pPr>
              <w:pStyle w:val="31"/>
              <w:spacing w:line="360" w:lineRule="auto"/>
              <w:rPr>
                <w:rFonts w:ascii="宋体" w:hAnsi="宋体"/>
                <w:sz w:val="21"/>
                <w:szCs w:val="21"/>
                <w:highlight w:val="none"/>
              </w:rPr>
            </w:pPr>
            <w:r>
              <w:rPr>
                <w:rFonts w:ascii="宋体" w:hAnsi="宋体"/>
                <w:sz w:val="21"/>
                <w:szCs w:val="21"/>
                <w:highlight w:val="none"/>
              </w:rPr>
              <w:t>③　范围及程序。对项目评审的具体内容、范围和程序做说明。</w:t>
            </w:r>
          </w:p>
          <w:p w14:paraId="79B25CA0">
            <w:pPr>
              <w:pStyle w:val="31"/>
              <w:spacing w:line="360" w:lineRule="auto"/>
              <w:rPr>
                <w:rFonts w:ascii="宋体" w:hAnsi="宋体"/>
                <w:sz w:val="21"/>
                <w:szCs w:val="21"/>
                <w:highlight w:val="none"/>
              </w:rPr>
            </w:pPr>
            <w:r>
              <w:rPr>
                <w:rFonts w:ascii="宋体" w:hAnsi="宋体"/>
                <w:sz w:val="21"/>
                <w:szCs w:val="21"/>
                <w:highlight w:val="none"/>
              </w:rPr>
              <w:t>④　评审结论。项目评审结果应按本规定的评审内容拟定，分析说明审减（增）原因等情况。</w:t>
            </w:r>
          </w:p>
          <w:p w14:paraId="4A985565">
            <w:pPr>
              <w:pStyle w:val="31"/>
              <w:spacing w:line="360" w:lineRule="auto"/>
              <w:rPr>
                <w:rFonts w:ascii="宋体" w:hAnsi="宋体"/>
                <w:sz w:val="21"/>
                <w:szCs w:val="21"/>
                <w:highlight w:val="none"/>
              </w:rPr>
            </w:pPr>
            <w:r>
              <w:rPr>
                <w:rFonts w:ascii="宋体" w:hAnsi="宋体"/>
                <w:sz w:val="21"/>
                <w:szCs w:val="21"/>
                <w:highlight w:val="none"/>
              </w:rPr>
              <w:t>⑤　重要事项说明。对项目评审中发现或有异议的重要事项，应作重点说明。</w:t>
            </w:r>
          </w:p>
          <w:p w14:paraId="5110D37D">
            <w:pPr>
              <w:pStyle w:val="31"/>
              <w:spacing w:line="360" w:lineRule="auto"/>
              <w:rPr>
                <w:rFonts w:ascii="宋体" w:hAnsi="宋体"/>
                <w:sz w:val="21"/>
                <w:szCs w:val="21"/>
                <w:highlight w:val="none"/>
              </w:rPr>
            </w:pPr>
            <w:r>
              <w:rPr>
                <w:rFonts w:ascii="宋体" w:hAnsi="宋体"/>
                <w:sz w:val="21"/>
                <w:szCs w:val="21"/>
                <w:highlight w:val="none"/>
              </w:rPr>
              <w:t>⑥　问题及建议。对项目评审中发现的主要问题作客观说明并提出具体改进建议。</w:t>
            </w:r>
          </w:p>
          <w:p w14:paraId="0D8E4D69">
            <w:pPr>
              <w:pStyle w:val="31"/>
              <w:spacing w:line="360" w:lineRule="auto"/>
              <w:rPr>
                <w:rFonts w:ascii="宋体" w:hAnsi="宋体"/>
                <w:sz w:val="21"/>
                <w:szCs w:val="21"/>
                <w:highlight w:val="none"/>
              </w:rPr>
            </w:pPr>
            <w:r>
              <w:rPr>
                <w:rFonts w:ascii="宋体" w:hAnsi="宋体"/>
                <w:sz w:val="21"/>
                <w:szCs w:val="21"/>
                <w:highlight w:val="none"/>
              </w:rPr>
              <w:t>⑦　签章。评审报告应签署评审单位全称，并加盖评审单位公章。</w:t>
            </w:r>
          </w:p>
          <w:p w14:paraId="273C774F">
            <w:pPr>
              <w:pStyle w:val="31"/>
              <w:spacing w:line="360" w:lineRule="auto"/>
              <w:rPr>
                <w:rFonts w:ascii="宋体" w:hAnsi="宋体"/>
                <w:sz w:val="21"/>
                <w:szCs w:val="21"/>
                <w:highlight w:val="none"/>
              </w:rPr>
            </w:pPr>
            <w:r>
              <w:rPr>
                <w:rFonts w:ascii="宋体" w:hAnsi="宋体"/>
                <w:sz w:val="21"/>
                <w:szCs w:val="21"/>
                <w:highlight w:val="none"/>
              </w:rPr>
              <w:t>⑧　评审报告日期。</w:t>
            </w:r>
          </w:p>
          <w:p w14:paraId="55B9D416">
            <w:pPr>
              <w:pStyle w:val="31"/>
              <w:spacing w:line="360" w:lineRule="auto"/>
              <w:rPr>
                <w:rFonts w:ascii="宋体" w:hAnsi="宋体"/>
                <w:sz w:val="21"/>
                <w:szCs w:val="21"/>
                <w:highlight w:val="none"/>
              </w:rPr>
            </w:pPr>
            <w:r>
              <w:rPr>
                <w:rFonts w:ascii="宋体" w:hAnsi="宋体"/>
                <w:sz w:val="21"/>
                <w:szCs w:val="21"/>
                <w:highlight w:val="none"/>
              </w:rPr>
              <w:t>(3)附件主要包括：</w:t>
            </w:r>
          </w:p>
          <w:p w14:paraId="550A2748">
            <w:pPr>
              <w:pStyle w:val="31"/>
              <w:spacing w:line="360" w:lineRule="auto"/>
              <w:rPr>
                <w:rFonts w:ascii="宋体" w:hAnsi="宋体"/>
                <w:sz w:val="21"/>
                <w:szCs w:val="21"/>
                <w:highlight w:val="none"/>
              </w:rPr>
            </w:pPr>
            <w:r>
              <w:rPr>
                <w:rFonts w:ascii="宋体" w:hAnsi="宋体"/>
                <w:sz w:val="21"/>
                <w:szCs w:val="21"/>
                <w:highlight w:val="none"/>
              </w:rPr>
              <w:t>①　项目相关批复文件资料；</w:t>
            </w:r>
          </w:p>
          <w:p w14:paraId="0191E674">
            <w:pPr>
              <w:pStyle w:val="31"/>
              <w:spacing w:line="360" w:lineRule="auto"/>
              <w:rPr>
                <w:rFonts w:ascii="宋体" w:hAnsi="宋体"/>
                <w:sz w:val="21"/>
                <w:szCs w:val="21"/>
                <w:highlight w:val="none"/>
              </w:rPr>
            </w:pPr>
            <w:r>
              <w:rPr>
                <w:rFonts w:ascii="宋体" w:hAnsi="宋体"/>
                <w:sz w:val="21"/>
                <w:szCs w:val="21"/>
                <w:highlight w:val="none"/>
              </w:rPr>
              <w:t>②　项目评审资料；</w:t>
            </w:r>
          </w:p>
          <w:p w14:paraId="554295D4">
            <w:pPr>
              <w:pStyle w:val="31"/>
              <w:spacing w:line="360" w:lineRule="auto"/>
              <w:rPr>
                <w:rFonts w:ascii="宋体" w:hAnsi="宋体"/>
                <w:sz w:val="21"/>
                <w:szCs w:val="21"/>
                <w:highlight w:val="none"/>
              </w:rPr>
            </w:pPr>
            <w:r>
              <w:rPr>
                <w:rFonts w:ascii="宋体" w:hAnsi="宋体"/>
                <w:sz w:val="21"/>
                <w:szCs w:val="21"/>
                <w:highlight w:val="none"/>
              </w:rPr>
              <w:t>③　造价书。</w:t>
            </w:r>
          </w:p>
          <w:p w14:paraId="767ACDDD">
            <w:pPr>
              <w:pStyle w:val="31"/>
              <w:spacing w:line="360" w:lineRule="auto"/>
              <w:rPr>
                <w:rFonts w:ascii="宋体" w:hAnsi="宋体"/>
                <w:sz w:val="21"/>
                <w:szCs w:val="21"/>
                <w:highlight w:val="none"/>
              </w:rPr>
            </w:pPr>
            <w:r>
              <w:rPr>
                <w:rFonts w:ascii="宋体" w:hAnsi="宋体"/>
                <w:sz w:val="21"/>
                <w:szCs w:val="21"/>
                <w:highlight w:val="none"/>
              </w:rPr>
              <w:t>（九）项目评审的监管与处罚</w:t>
            </w:r>
          </w:p>
          <w:p w14:paraId="60389982">
            <w:pPr>
              <w:pStyle w:val="31"/>
              <w:spacing w:line="360" w:lineRule="auto"/>
              <w:rPr>
                <w:rFonts w:ascii="宋体" w:hAnsi="宋体"/>
                <w:sz w:val="21"/>
                <w:szCs w:val="21"/>
                <w:highlight w:val="none"/>
              </w:rPr>
            </w:pPr>
            <w:r>
              <w:rPr>
                <w:rFonts w:ascii="宋体" w:hAnsi="宋体"/>
                <w:sz w:val="21"/>
                <w:szCs w:val="21"/>
                <w:highlight w:val="none"/>
              </w:rPr>
              <w:t>1．评审人员应当严格执行国家的法律法规，客观公正、廉洁自律，保证评审结果的合法性、客观性、准确性和公正性；严禁与项目有关单位和人员恶意串通、高冒估算、弄虚作假，否则，将追究有关人员行政责任，情节严重触犯刑</w:t>
            </w:r>
            <w:r>
              <w:rPr>
                <w:rFonts w:hint="eastAsia" w:ascii="宋体" w:hAnsi="宋体"/>
                <w:sz w:val="21"/>
                <w:szCs w:val="21"/>
                <w:highlight w:val="none"/>
                <w:lang w:val="en-US" w:eastAsia="zh-CN"/>
              </w:rPr>
              <w:t>法</w:t>
            </w:r>
            <w:r>
              <w:rPr>
                <w:rFonts w:ascii="宋体" w:hAnsi="宋体"/>
                <w:sz w:val="21"/>
                <w:szCs w:val="21"/>
                <w:highlight w:val="none"/>
              </w:rPr>
              <w:t>的，移送司法部门处理。</w:t>
            </w:r>
          </w:p>
          <w:p w14:paraId="766604BD">
            <w:pPr>
              <w:pStyle w:val="31"/>
              <w:spacing w:line="360" w:lineRule="auto"/>
              <w:rPr>
                <w:rFonts w:ascii="宋体" w:hAnsi="宋体"/>
                <w:sz w:val="21"/>
                <w:szCs w:val="21"/>
                <w:highlight w:val="none"/>
              </w:rPr>
            </w:pPr>
            <w:r>
              <w:rPr>
                <w:rFonts w:ascii="宋体" w:hAnsi="宋体"/>
                <w:sz w:val="21"/>
                <w:szCs w:val="21"/>
                <w:highlight w:val="none"/>
              </w:rPr>
              <w:t>2．入围供应商（评审机构）在评审过程中要履行重大事项报告制度，对发现以下情况应在出具《评审报告书》前及时向财政部门汇报：</w:t>
            </w:r>
          </w:p>
          <w:p w14:paraId="42D0B1CF">
            <w:pPr>
              <w:pStyle w:val="31"/>
              <w:spacing w:line="360" w:lineRule="auto"/>
              <w:rPr>
                <w:rFonts w:ascii="宋体" w:hAnsi="宋体"/>
                <w:sz w:val="21"/>
                <w:szCs w:val="21"/>
                <w:highlight w:val="none"/>
              </w:rPr>
            </w:pPr>
            <w:r>
              <w:rPr>
                <w:rFonts w:ascii="宋体" w:hAnsi="宋体"/>
                <w:sz w:val="21"/>
                <w:szCs w:val="21"/>
                <w:highlight w:val="none"/>
              </w:rPr>
              <w:t>(1)工程总投资超出概算批复总投资（没有概算批复的以立项总投资为准），或工程建安投资超出概算批复的建安投资而未经批准的；</w:t>
            </w:r>
          </w:p>
          <w:p w14:paraId="5B422272">
            <w:pPr>
              <w:pStyle w:val="31"/>
              <w:spacing w:line="360" w:lineRule="auto"/>
              <w:rPr>
                <w:rFonts w:ascii="宋体" w:hAnsi="宋体"/>
                <w:sz w:val="21"/>
                <w:szCs w:val="21"/>
                <w:highlight w:val="none"/>
              </w:rPr>
            </w:pPr>
            <w:r>
              <w:rPr>
                <w:rFonts w:ascii="宋体" w:hAnsi="宋体"/>
                <w:sz w:val="21"/>
                <w:szCs w:val="21"/>
                <w:highlight w:val="none"/>
              </w:rPr>
              <w:t>(2)因变更设计、材料、提高建筑标准、不可预见原因而提高工程造价的；</w:t>
            </w:r>
          </w:p>
          <w:p w14:paraId="13305DDD">
            <w:pPr>
              <w:pStyle w:val="31"/>
              <w:spacing w:line="360" w:lineRule="auto"/>
              <w:rPr>
                <w:rFonts w:ascii="宋体" w:hAnsi="宋体"/>
                <w:sz w:val="21"/>
                <w:szCs w:val="21"/>
                <w:highlight w:val="none"/>
              </w:rPr>
            </w:pPr>
            <w:r>
              <w:rPr>
                <w:rFonts w:ascii="宋体" w:hAnsi="宋体"/>
                <w:sz w:val="21"/>
                <w:szCs w:val="21"/>
                <w:highlight w:val="none"/>
              </w:rPr>
              <w:t>(3)竣工图纸与施工图纸设计变更不符，增加或改变工程内容和项目的；</w:t>
            </w:r>
          </w:p>
          <w:p w14:paraId="418D90B9">
            <w:pPr>
              <w:pStyle w:val="31"/>
              <w:spacing w:line="360" w:lineRule="auto"/>
              <w:rPr>
                <w:rFonts w:ascii="宋体" w:hAnsi="宋体"/>
                <w:sz w:val="21"/>
                <w:szCs w:val="21"/>
                <w:highlight w:val="none"/>
              </w:rPr>
            </w:pPr>
            <w:r>
              <w:rPr>
                <w:rFonts w:ascii="宋体" w:hAnsi="宋体"/>
                <w:sz w:val="21"/>
                <w:szCs w:val="21"/>
                <w:highlight w:val="none"/>
              </w:rPr>
              <w:t>(4)合同、补充合同、招标文件之间条文有冲突的；</w:t>
            </w:r>
          </w:p>
          <w:p w14:paraId="6EF5CDD7">
            <w:pPr>
              <w:pStyle w:val="31"/>
              <w:spacing w:line="360" w:lineRule="auto"/>
              <w:rPr>
                <w:rFonts w:ascii="宋体" w:hAnsi="宋体"/>
                <w:sz w:val="21"/>
                <w:szCs w:val="21"/>
                <w:highlight w:val="none"/>
              </w:rPr>
            </w:pPr>
            <w:r>
              <w:rPr>
                <w:rFonts w:ascii="宋体" w:hAnsi="宋体"/>
                <w:sz w:val="21"/>
                <w:szCs w:val="21"/>
                <w:highlight w:val="none"/>
              </w:rPr>
              <w:t>(5)由于人为因素造成政府工程损失浪费的；</w:t>
            </w:r>
          </w:p>
          <w:p w14:paraId="66E699A1">
            <w:pPr>
              <w:pStyle w:val="31"/>
              <w:spacing w:line="360" w:lineRule="auto"/>
              <w:rPr>
                <w:rFonts w:ascii="宋体" w:hAnsi="宋体"/>
                <w:sz w:val="21"/>
                <w:szCs w:val="21"/>
                <w:highlight w:val="none"/>
              </w:rPr>
            </w:pPr>
            <w:r>
              <w:rPr>
                <w:rFonts w:ascii="宋体" w:hAnsi="宋体"/>
                <w:sz w:val="21"/>
                <w:szCs w:val="21"/>
                <w:highlight w:val="none"/>
              </w:rPr>
              <w:t>(6)发现有弄虚作假嫌疑的；</w:t>
            </w:r>
          </w:p>
          <w:p w14:paraId="37A09E50">
            <w:pPr>
              <w:pStyle w:val="31"/>
              <w:spacing w:line="360" w:lineRule="auto"/>
              <w:rPr>
                <w:rFonts w:ascii="宋体" w:hAnsi="宋体"/>
                <w:sz w:val="21"/>
                <w:szCs w:val="21"/>
                <w:highlight w:val="none"/>
              </w:rPr>
            </w:pPr>
            <w:r>
              <w:rPr>
                <w:rFonts w:ascii="宋体" w:hAnsi="宋体"/>
                <w:sz w:val="21"/>
                <w:szCs w:val="21"/>
                <w:highlight w:val="none"/>
              </w:rPr>
              <w:t>(7)评审后核增工程造价的；</w:t>
            </w:r>
          </w:p>
          <w:p w14:paraId="27E64153">
            <w:pPr>
              <w:pStyle w:val="31"/>
              <w:spacing w:line="360" w:lineRule="auto"/>
              <w:rPr>
                <w:rFonts w:ascii="宋体" w:hAnsi="宋体"/>
                <w:sz w:val="21"/>
                <w:szCs w:val="21"/>
                <w:highlight w:val="none"/>
              </w:rPr>
            </w:pPr>
            <w:r>
              <w:rPr>
                <w:rFonts w:ascii="宋体" w:hAnsi="宋体"/>
                <w:sz w:val="21"/>
                <w:szCs w:val="21"/>
                <w:highlight w:val="none"/>
              </w:rPr>
              <w:t>(8)评审后工程核减率达到5％以上的；</w:t>
            </w:r>
          </w:p>
          <w:p w14:paraId="4764D3F6">
            <w:pPr>
              <w:pStyle w:val="31"/>
              <w:spacing w:line="360" w:lineRule="auto"/>
              <w:rPr>
                <w:rFonts w:ascii="宋体" w:hAnsi="宋体"/>
                <w:sz w:val="21"/>
                <w:szCs w:val="21"/>
                <w:highlight w:val="none"/>
              </w:rPr>
            </w:pPr>
            <w:r>
              <w:rPr>
                <w:rFonts w:ascii="宋体" w:hAnsi="宋体"/>
                <w:sz w:val="21"/>
                <w:szCs w:val="21"/>
                <w:highlight w:val="none"/>
              </w:rPr>
              <w:t>(9)与建设单位、施工单位对评审意见存在较大差异，或者是评审机构对某一政策和技术上的问题不能确认时；</w:t>
            </w:r>
          </w:p>
          <w:p w14:paraId="022450CC">
            <w:pPr>
              <w:pStyle w:val="31"/>
              <w:spacing w:line="360" w:lineRule="auto"/>
              <w:rPr>
                <w:rFonts w:ascii="宋体" w:hAnsi="宋体"/>
                <w:sz w:val="21"/>
                <w:szCs w:val="21"/>
                <w:highlight w:val="none"/>
              </w:rPr>
            </w:pPr>
            <w:r>
              <w:rPr>
                <w:rFonts w:ascii="宋体" w:hAnsi="宋体"/>
                <w:sz w:val="21"/>
                <w:szCs w:val="21"/>
                <w:highlight w:val="none"/>
              </w:rPr>
              <w:t>(10)工程做法或施工工艺不符合强制性规定或相关法律法规的；</w:t>
            </w:r>
          </w:p>
          <w:p w14:paraId="463C6013">
            <w:pPr>
              <w:pStyle w:val="31"/>
              <w:spacing w:line="360" w:lineRule="auto"/>
              <w:rPr>
                <w:rFonts w:ascii="宋体" w:hAnsi="宋体"/>
                <w:sz w:val="21"/>
                <w:szCs w:val="21"/>
                <w:highlight w:val="none"/>
              </w:rPr>
            </w:pPr>
            <w:r>
              <w:rPr>
                <w:rFonts w:ascii="宋体" w:hAnsi="宋体"/>
                <w:sz w:val="21"/>
                <w:szCs w:val="21"/>
                <w:highlight w:val="none"/>
              </w:rPr>
              <w:t>(11)工程建设内容超出原概算批复建设范围而未经批准的；</w:t>
            </w:r>
          </w:p>
          <w:p w14:paraId="153E9B10">
            <w:pPr>
              <w:pStyle w:val="31"/>
              <w:spacing w:line="360" w:lineRule="auto"/>
              <w:rPr>
                <w:rFonts w:ascii="宋体" w:hAnsi="宋体"/>
                <w:sz w:val="21"/>
                <w:szCs w:val="21"/>
                <w:highlight w:val="none"/>
              </w:rPr>
            </w:pPr>
            <w:r>
              <w:rPr>
                <w:rFonts w:ascii="宋体" w:hAnsi="宋体"/>
                <w:sz w:val="21"/>
                <w:szCs w:val="21"/>
                <w:highlight w:val="none"/>
              </w:rPr>
              <w:t>(12)结算超预算或者单项工程结算价超中标价和合同价的；</w:t>
            </w:r>
          </w:p>
          <w:p w14:paraId="1DCF7D58">
            <w:pPr>
              <w:pStyle w:val="31"/>
              <w:spacing w:line="360" w:lineRule="auto"/>
              <w:rPr>
                <w:rFonts w:ascii="宋体" w:hAnsi="宋体"/>
                <w:sz w:val="21"/>
                <w:szCs w:val="21"/>
                <w:highlight w:val="none"/>
              </w:rPr>
            </w:pPr>
            <w:r>
              <w:rPr>
                <w:rFonts w:ascii="宋体" w:hAnsi="宋体"/>
                <w:sz w:val="21"/>
                <w:szCs w:val="21"/>
                <w:highlight w:val="none"/>
              </w:rPr>
              <w:t>(13)单项工程建设内容超出原招标范围而未有合法手续的；</w:t>
            </w:r>
          </w:p>
          <w:p w14:paraId="3C086C37">
            <w:pPr>
              <w:pStyle w:val="31"/>
              <w:spacing w:line="360" w:lineRule="auto"/>
              <w:rPr>
                <w:rFonts w:ascii="宋体" w:hAnsi="宋体"/>
                <w:sz w:val="21"/>
                <w:szCs w:val="21"/>
                <w:highlight w:val="none"/>
              </w:rPr>
            </w:pPr>
            <w:r>
              <w:rPr>
                <w:rFonts w:ascii="宋体" w:hAnsi="宋体"/>
                <w:sz w:val="21"/>
                <w:szCs w:val="21"/>
                <w:highlight w:val="none"/>
              </w:rPr>
              <w:t>(14)建设单位补充的文件资料与招标文件、施工合同相违背时；</w:t>
            </w:r>
          </w:p>
          <w:p w14:paraId="2A2C4C41">
            <w:pPr>
              <w:pStyle w:val="31"/>
              <w:spacing w:line="360" w:lineRule="auto"/>
              <w:rPr>
                <w:rFonts w:ascii="宋体" w:hAnsi="宋体"/>
                <w:sz w:val="21"/>
                <w:szCs w:val="21"/>
                <w:highlight w:val="none"/>
              </w:rPr>
            </w:pPr>
            <w:r>
              <w:rPr>
                <w:rFonts w:ascii="宋体" w:hAnsi="宋体"/>
                <w:sz w:val="21"/>
                <w:szCs w:val="21"/>
                <w:highlight w:val="none"/>
              </w:rPr>
              <w:t>(15)对招标文件、施工合同等重要资料的规定不合理、不明确而产生争议的；</w:t>
            </w:r>
          </w:p>
          <w:p w14:paraId="00761E07">
            <w:pPr>
              <w:pStyle w:val="31"/>
              <w:spacing w:line="360" w:lineRule="auto"/>
              <w:rPr>
                <w:rFonts w:ascii="宋体" w:hAnsi="宋体"/>
                <w:sz w:val="21"/>
                <w:szCs w:val="21"/>
                <w:highlight w:val="none"/>
              </w:rPr>
            </w:pPr>
            <w:r>
              <w:rPr>
                <w:rFonts w:ascii="宋体" w:hAnsi="宋体"/>
                <w:sz w:val="21"/>
                <w:szCs w:val="21"/>
                <w:highlight w:val="none"/>
              </w:rPr>
              <w:t>(16)工程不均衡报价且工程量发生大幅度变化的；</w:t>
            </w:r>
          </w:p>
          <w:p w14:paraId="4E6A9FCD">
            <w:pPr>
              <w:pStyle w:val="31"/>
              <w:spacing w:line="360" w:lineRule="auto"/>
              <w:rPr>
                <w:rFonts w:ascii="宋体" w:hAnsi="宋体"/>
                <w:sz w:val="21"/>
                <w:szCs w:val="21"/>
                <w:highlight w:val="none"/>
              </w:rPr>
            </w:pPr>
            <w:r>
              <w:rPr>
                <w:rFonts w:ascii="宋体" w:hAnsi="宋体"/>
                <w:sz w:val="21"/>
                <w:szCs w:val="21"/>
                <w:highlight w:val="none"/>
              </w:rPr>
              <w:t>(17)工程评审时按工程合同某些应该发生而未发生的费用，如：优良奖等；</w:t>
            </w:r>
          </w:p>
          <w:p w14:paraId="6B814A39">
            <w:pPr>
              <w:pStyle w:val="31"/>
              <w:spacing w:line="360" w:lineRule="auto"/>
              <w:rPr>
                <w:rFonts w:ascii="宋体" w:hAnsi="宋体"/>
                <w:sz w:val="21"/>
                <w:szCs w:val="21"/>
                <w:highlight w:val="none"/>
              </w:rPr>
            </w:pPr>
            <w:r>
              <w:rPr>
                <w:rFonts w:ascii="宋体" w:hAnsi="宋体"/>
                <w:sz w:val="21"/>
                <w:szCs w:val="21"/>
                <w:highlight w:val="none"/>
              </w:rPr>
              <w:t>(18)发现其它方面的问题。</w:t>
            </w:r>
          </w:p>
          <w:p w14:paraId="5A094E56">
            <w:pPr>
              <w:pStyle w:val="31"/>
              <w:spacing w:line="360" w:lineRule="auto"/>
              <w:rPr>
                <w:rFonts w:ascii="宋体" w:hAnsi="宋体"/>
                <w:sz w:val="21"/>
                <w:szCs w:val="21"/>
                <w:highlight w:val="none"/>
              </w:rPr>
            </w:pPr>
            <w:r>
              <w:rPr>
                <w:rFonts w:ascii="宋体" w:hAnsi="宋体"/>
                <w:sz w:val="21"/>
                <w:szCs w:val="21"/>
                <w:highlight w:val="none"/>
              </w:rPr>
              <w:t>以上重大事项入围供应商（评审机构）没有向征集人汇报的，将停止轮候委托资格一次，</w:t>
            </w:r>
            <w:r>
              <w:rPr>
                <w:rFonts w:hint="eastAsia" w:ascii="宋体" w:hAnsi="宋体"/>
                <w:sz w:val="21"/>
                <w:szCs w:val="21"/>
                <w:highlight w:val="none"/>
                <w:lang w:val="en-US" w:eastAsia="zh-CN"/>
              </w:rPr>
              <w:t>服务期内</w:t>
            </w:r>
            <w:r>
              <w:rPr>
                <w:rFonts w:ascii="宋体" w:hAnsi="宋体"/>
                <w:sz w:val="21"/>
                <w:szCs w:val="21"/>
                <w:highlight w:val="none"/>
              </w:rPr>
              <w:t>累计三次及以上，将停止其接受征集人在本合同服务期内委托评审资格。造成</w:t>
            </w:r>
            <w:r>
              <w:rPr>
                <w:rFonts w:hint="eastAsia" w:ascii="宋体" w:hAnsi="宋体"/>
                <w:sz w:val="21"/>
                <w:szCs w:val="21"/>
                <w:highlight w:val="none"/>
                <w:lang w:val="en-US" w:eastAsia="zh-CN"/>
              </w:rPr>
              <w:t>采购人</w:t>
            </w:r>
            <w:r>
              <w:rPr>
                <w:rFonts w:ascii="宋体" w:hAnsi="宋体"/>
                <w:sz w:val="21"/>
                <w:szCs w:val="21"/>
                <w:highlight w:val="none"/>
              </w:rPr>
              <w:t>经济损失的，</w:t>
            </w:r>
            <w:r>
              <w:rPr>
                <w:rFonts w:hint="eastAsia" w:ascii="宋体" w:hAnsi="宋体"/>
                <w:sz w:val="21"/>
                <w:szCs w:val="21"/>
                <w:highlight w:val="none"/>
                <w:lang w:val="en-US" w:eastAsia="zh-CN"/>
              </w:rPr>
              <w:t>入围供应商应</w:t>
            </w:r>
            <w:r>
              <w:rPr>
                <w:rFonts w:ascii="宋体" w:hAnsi="宋体"/>
                <w:sz w:val="21"/>
                <w:szCs w:val="21"/>
                <w:highlight w:val="none"/>
              </w:rPr>
              <w:t>依法承担</w:t>
            </w:r>
            <w:r>
              <w:rPr>
                <w:rFonts w:hint="eastAsia" w:ascii="宋体" w:hAnsi="宋体"/>
                <w:sz w:val="21"/>
                <w:szCs w:val="21"/>
                <w:highlight w:val="none"/>
                <w:lang w:val="en-US" w:eastAsia="zh-CN"/>
              </w:rPr>
              <w:t>赔偿</w:t>
            </w:r>
            <w:r>
              <w:rPr>
                <w:rFonts w:ascii="宋体" w:hAnsi="宋体"/>
                <w:sz w:val="21"/>
                <w:szCs w:val="21"/>
                <w:highlight w:val="none"/>
              </w:rPr>
              <w:t>责任。</w:t>
            </w:r>
          </w:p>
          <w:p w14:paraId="320F2D28">
            <w:pPr>
              <w:pStyle w:val="31"/>
              <w:spacing w:line="360" w:lineRule="auto"/>
              <w:rPr>
                <w:rFonts w:ascii="宋体" w:hAnsi="宋体"/>
                <w:sz w:val="21"/>
                <w:szCs w:val="21"/>
                <w:highlight w:val="none"/>
              </w:rPr>
            </w:pPr>
            <w:r>
              <w:rPr>
                <w:rFonts w:ascii="宋体" w:hAnsi="宋体"/>
                <w:sz w:val="21"/>
                <w:szCs w:val="21"/>
                <w:highlight w:val="none"/>
              </w:rPr>
              <w:t>3．对评审报告的抽查和复审制度：财政部门将采取多种形式对评审报告进行抽查和复审，复审后发现偏差的（2%＜偏差≤5%），将扣减相应的评审费用；偏差超过5%的，将扣减相应的评审费用并停止其接受在本合同服务期内委托评审资格，同时，征集人把误差情况上报给造价行业主管部门。</w:t>
            </w:r>
          </w:p>
          <w:p w14:paraId="0B44314D">
            <w:pPr>
              <w:pStyle w:val="31"/>
              <w:spacing w:line="360" w:lineRule="auto"/>
              <w:rPr>
                <w:rFonts w:ascii="宋体" w:hAnsi="宋体"/>
                <w:sz w:val="21"/>
                <w:szCs w:val="21"/>
                <w:highlight w:val="none"/>
              </w:rPr>
            </w:pPr>
            <w:r>
              <w:rPr>
                <w:rFonts w:ascii="宋体" w:hAnsi="宋体"/>
                <w:sz w:val="21"/>
                <w:szCs w:val="21"/>
                <w:highlight w:val="none"/>
              </w:rPr>
              <w:t>4． 财政部门委托的评审业务，按照“谁委托、谁付费”的原则，由财政部门按单项委托合同付费，入围供应商不得另外向建设单位和施工单位收取费用。</w:t>
            </w:r>
          </w:p>
          <w:p w14:paraId="5223FB50">
            <w:pPr>
              <w:pStyle w:val="31"/>
              <w:spacing w:line="360" w:lineRule="auto"/>
              <w:rPr>
                <w:rFonts w:ascii="宋体" w:hAnsi="宋体"/>
                <w:sz w:val="21"/>
                <w:szCs w:val="21"/>
                <w:highlight w:val="none"/>
              </w:rPr>
            </w:pPr>
            <w:r>
              <w:rPr>
                <w:rFonts w:ascii="宋体" w:hAnsi="宋体"/>
                <w:sz w:val="21"/>
                <w:szCs w:val="21"/>
                <w:highlight w:val="none"/>
              </w:rPr>
              <w:t>（十）评审机构的考核及奖惩办法</w:t>
            </w:r>
          </w:p>
          <w:p w14:paraId="496D0993">
            <w:pPr>
              <w:pStyle w:val="31"/>
              <w:spacing w:line="360" w:lineRule="auto"/>
              <w:rPr>
                <w:rFonts w:ascii="宋体" w:hAnsi="宋体"/>
                <w:sz w:val="21"/>
                <w:szCs w:val="21"/>
                <w:highlight w:val="none"/>
              </w:rPr>
            </w:pPr>
            <w:r>
              <w:rPr>
                <w:rFonts w:ascii="宋体" w:hAnsi="宋体"/>
                <w:sz w:val="21"/>
                <w:szCs w:val="21"/>
                <w:highlight w:val="none"/>
              </w:rPr>
              <w:t>1．考核时间：阳江市阳东区财政局将对入围供应商开展日常检查并定期对阳江市阳东区政府投资项目评审服务机构进行考核。</w:t>
            </w:r>
          </w:p>
          <w:p w14:paraId="77151A40">
            <w:pPr>
              <w:pStyle w:val="31"/>
              <w:spacing w:line="360" w:lineRule="auto"/>
              <w:rPr>
                <w:rFonts w:ascii="宋体" w:hAnsi="宋体"/>
                <w:sz w:val="21"/>
                <w:szCs w:val="21"/>
                <w:highlight w:val="none"/>
              </w:rPr>
            </w:pPr>
            <w:r>
              <w:rPr>
                <w:rFonts w:ascii="宋体" w:hAnsi="宋体"/>
                <w:sz w:val="21"/>
                <w:szCs w:val="21"/>
                <w:highlight w:val="none"/>
              </w:rPr>
              <w:t>2．考核内容：考核服务机构在考核期内完成项目的评审情况。包括：评审时效、重大事项报告及沟通协调、人员管理、资料管理、造价评审、评审分析、评审报告质量、服务态度、廉政纪律等。</w:t>
            </w:r>
          </w:p>
          <w:p w14:paraId="7F9CFEE2">
            <w:pPr>
              <w:pStyle w:val="31"/>
              <w:spacing w:line="360" w:lineRule="auto"/>
              <w:rPr>
                <w:rFonts w:ascii="宋体" w:hAnsi="宋体"/>
                <w:sz w:val="21"/>
                <w:szCs w:val="21"/>
                <w:highlight w:val="none"/>
              </w:rPr>
            </w:pPr>
            <w:r>
              <w:rPr>
                <w:rFonts w:ascii="宋体" w:hAnsi="宋体"/>
                <w:sz w:val="21"/>
                <w:szCs w:val="21"/>
                <w:highlight w:val="none"/>
              </w:rPr>
              <w:t xml:space="preserve">3．考核方法：采用评分法，具体考核细则阳江市阳东区财政局将另行制定。 </w:t>
            </w:r>
          </w:p>
          <w:p w14:paraId="44EB2B33">
            <w:pPr>
              <w:pStyle w:val="31"/>
              <w:spacing w:line="360" w:lineRule="auto"/>
              <w:rPr>
                <w:rFonts w:ascii="宋体" w:hAnsi="宋体"/>
                <w:sz w:val="21"/>
                <w:szCs w:val="21"/>
                <w:highlight w:val="none"/>
              </w:rPr>
            </w:pPr>
            <w:r>
              <w:rPr>
                <w:rFonts w:ascii="宋体" w:hAnsi="宋体"/>
                <w:sz w:val="21"/>
                <w:szCs w:val="21"/>
                <w:highlight w:val="none"/>
              </w:rPr>
              <w:t>4．奖惩办法。</w:t>
            </w:r>
          </w:p>
          <w:p w14:paraId="0CE50A30">
            <w:pPr>
              <w:pStyle w:val="31"/>
              <w:spacing w:line="360" w:lineRule="auto"/>
              <w:rPr>
                <w:rFonts w:ascii="宋体" w:hAnsi="宋体"/>
                <w:sz w:val="21"/>
                <w:szCs w:val="21"/>
                <w:highlight w:val="none"/>
              </w:rPr>
            </w:pPr>
            <w:r>
              <w:rPr>
                <w:rFonts w:ascii="宋体" w:hAnsi="宋体"/>
                <w:sz w:val="21"/>
                <w:szCs w:val="21"/>
                <w:highlight w:val="none"/>
              </w:rPr>
              <w:t>①　在考核中成绩差的，给予警告、减少项目委托次数、扣减评审费用等惩罚；</w:t>
            </w:r>
          </w:p>
          <w:p w14:paraId="49C491ED">
            <w:pPr>
              <w:pStyle w:val="31"/>
              <w:spacing w:line="360" w:lineRule="auto"/>
              <w:rPr>
                <w:rFonts w:ascii="宋体" w:hAnsi="宋体"/>
                <w:sz w:val="21"/>
                <w:szCs w:val="21"/>
                <w:highlight w:val="none"/>
              </w:rPr>
            </w:pPr>
            <w:r>
              <w:rPr>
                <w:rFonts w:ascii="宋体" w:hAnsi="宋体"/>
                <w:sz w:val="21"/>
                <w:szCs w:val="21"/>
                <w:highlight w:val="none"/>
              </w:rPr>
              <w:t>②　考核中发现违反法律的，将根据情节轻重给予暂停评审资格、取消评审资格处罚，情节特别严重的移交司法机关追究法律责任。</w:t>
            </w:r>
          </w:p>
          <w:p w14:paraId="151F1DAC">
            <w:pPr>
              <w:pStyle w:val="31"/>
              <w:spacing w:line="360" w:lineRule="auto"/>
              <w:rPr>
                <w:rFonts w:ascii="宋体" w:hAnsi="宋体"/>
                <w:sz w:val="21"/>
                <w:szCs w:val="21"/>
                <w:highlight w:val="none"/>
              </w:rPr>
            </w:pPr>
            <w:r>
              <w:rPr>
                <w:rFonts w:ascii="宋体" w:hAnsi="宋体"/>
                <w:sz w:val="21"/>
                <w:szCs w:val="21"/>
                <w:highlight w:val="none"/>
              </w:rPr>
              <w:t>③　抽查审计发现偏差的，按如下扣减评审费，并减少委托评审次数：</w:t>
            </w:r>
          </w:p>
          <w:p w14:paraId="65C20A87">
            <w:pPr>
              <w:pStyle w:val="31"/>
              <w:spacing w:line="360" w:lineRule="auto"/>
              <w:rPr>
                <w:rFonts w:ascii="宋体" w:hAnsi="宋体"/>
                <w:sz w:val="21"/>
                <w:szCs w:val="21"/>
                <w:highlight w:val="none"/>
              </w:rPr>
            </w:pPr>
            <w:r>
              <w:rPr>
                <w:rFonts w:ascii="宋体" w:hAnsi="宋体"/>
                <w:sz w:val="21"/>
                <w:szCs w:val="21"/>
                <w:highlight w:val="none"/>
              </w:rPr>
              <w:t>a.1%＜偏差≤2%，对入围供应商进行口头或书面警告处理；</w:t>
            </w:r>
          </w:p>
          <w:p w14:paraId="601ABBFA">
            <w:pPr>
              <w:pStyle w:val="31"/>
              <w:spacing w:line="360" w:lineRule="auto"/>
              <w:rPr>
                <w:rFonts w:ascii="宋体" w:hAnsi="宋体"/>
                <w:sz w:val="21"/>
                <w:szCs w:val="21"/>
                <w:highlight w:val="none"/>
              </w:rPr>
            </w:pPr>
            <w:r>
              <w:rPr>
                <w:rFonts w:ascii="宋体" w:hAnsi="宋体"/>
                <w:sz w:val="21"/>
                <w:szCs w:val="21"/>
                <w:highlight w:val="none"/>
              </w:rPr>
              <w:t>b.2%＜偏差≤3%，扣减评审费的30%，并停止委托轮候资格1次；</w:t>
            </w:r>
          </w:p>
          <w:p w14:paraId="7CAA44FA">
            <w:pPr>
              <w:pStyle w:val="31"/>
              <w:spacing w:line="360" w:lineRule="auto"/>
              <w:rPr>
                <w:rFonts w:ascii="宋体" w:hAnsi="宋体"/>
                <w:sz w:val="21"/>
                <w:szCs w:val="21"/>
                <w:highlight w:val="none"/>
              </w:rPr>
            </w:pPr>
            <w:r>
              <w:rPr>
                <w:rFonts w:ascii="宋体" w:hAnsi="宋体"/>
                <w:sz w:val="21"/>
                <w:szCs w:val="21"/>
                <w:highlight w:val="none"/>
              </w:rPr>
              <w:t>c.3%＜偏差≤5%，扣减评审费的60%，满三次停止委托轮候资格1个月；</w:t>
            </w:r>
          </w:p>
          <w:p w14:paraId="2B251EE3">
            <w:pPr>
              <w:pStyle w:val="31"/>
              <w:spacing w:line="360" w:lineRule="auto"/>
              <w:rPr>
                <w:rFonts w:ascii="宋体" w:hAnsi="宋体"/>
                <w:sz w:val="21"/>
                <w:szCs w:val="21"/>
                <w:highlight w:val="none"/>
              </w:rPr>
            </w:pPr>
            <w:r>
              <w:rPr>
                <w:rFonts w:ascii="宋体" w:hAnsi="宋体"/>
                <w:sz w:val="21"/>
                <w:szCs w:val="21"/>
                <w:highlight w:val="none"/>
              </w:rPr>
              <w:t>d.5%＜偏差，扣减评审费的100%，满三次停止委托轮候资格2个月，年累计达到五次的，停止委托评审资格。</w:t>
            </w:r>
          </w:p>
        </w:tc>
      </w:tr>
    </w:tbl>
    <w:p w14:paraId="15B4A02C">
      <w:pPr>
        <w:pStyle w:val="31"/>
        <w:spacing w:line="360" w:lineRule="auto"/>
        <w:ind w:firstLine="840"/>
        <w:rPr>
          <w:rFonts w:hint="default"/>
          <w:sz w:val="21"/>
          <w:szCs w:val="21"/>
          <w:highlight w:val="none"/>
        </w:rPr>
      </w:pPr>
      <w:r>
        <w:rPr>
          <w:sz w:val="21"/>
          <w:szCs w:val="21"/>
          <w:highlight w:val="none"/>
        </w:rPr>
        <w:t>3）服务人员组成要求：</w:t>
      </w:r>
    </w:p>
    <w:tbl>
      <w:tblPr>
        <w:tblStyle w:val="14"/>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1425"/>
        <w:gridCol w:w="4788"/>
        <w:gridCol w:w="737"/>
        <w:gridCol w:w="764"/>
      </w:tblGrid>
      <w:tr w14:paraId="7C1424D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91" w:type="dxa"/>
            <w:vAlign w:val="center"/>
          </w:tcPr>
          <w:p w14:paraId="4D716BC2">
            <w:pPr>
              <w:pStyle w:val="31"/>
              <w:spacing w:line="360" w:lineRule="auto"/>
              <w:jc w:val="center"/>
              <w:rPr>
                <w:rFonts w:ascii="宋体" w:hAnsi="宋体"/>
                <w:sz w:val="21"/>
                <w:szCs w:val="21"/>
                <w:highlight w:val="none"/>
              </w:rPr>
            </w:pPr>
            <w:r>
              <w:rPr>
                <w:rFonts w:ascii="宋体" w:hAnsi="宋体"/>
                <w:sz w:val="21"/>
                <w:szCs w:val="21"/>
                <w:highlight w:val="none"/>
              </w:rPr>
              <w:t>序号</w:t>
            </w:r>
          </w:p>
        </w:tc>
        <w:tc>
          <w:tcPr>
            <w:tcW w:w="1425" w:type="dxa"/>
            <w:vAlign w:val="center"/>
          </w:tcPr>
          <w:p w14:paraId="133FDF06">
            <w:pPr>
              <w:pStyle w:val="31"/>
              <w:spacing w:line="360" w:lineRule="auto"/>
              <w:jc w:val="center"/>
              <w:rPr>
                <w:rFonts w:ascii="宋体" w:hAnsi="宋体"/>
                <w:sz w:val="21"/>
                <w:szCs w:val="21"/>
                <w:highlight w:val="none"/>
              </w:rPr>
            </w:pPr>
            <w:r>
              <w:rPr>
                <w:rFonts w:ascii="宋体" w:hAnsi="宋体"/>
                <w:sz w:val="21"/>
                <w:szCs w:val="21"/>
                <w:highlight w:val="none"/>
              </w:rPr>
              <w:t>服务人员组成要求</w:t>
            </w:r>
          </w:p>
        </w:tc>
        <w:tc>
          <w:tcPr>
            <w:tcW w:w="4788" w:type="dxa"/>
            <w:vAlign w:val="center"/>
          </w:tcPr>
          <w:p w14:paraId="145BB217">
            <w:pPr>
              <w:pStyle w:val="31"/>
              <w:spacing w:line="360" w:lineRule="auto"/>
              <w:jc w:val="center"/>
              <w:rPr>
                <w:rFonts w:ascii="宋体" w:hAnsi="宋体"/>
                <w:sz w:val="21"/>
                <w:szCs w:val="21"/>
                <w:highlight w:val="none"/>
              </w:rPr>
            </w:pPr>
            <w:r>
              <w:rPr>
                <w:rFonts w:ascii="宋体" w:hAnsi="宋体"/>
                <w:sz w:val="21"/>
                <w:szCs w:val="21"/>
                <w:highlight w:val="none"/>
              </w:rPr>
              <w:t>资质要求</w:t>
            </w:r>
          </w:p>
        </w:tc>
        <w:tc>
          <w:tcPr>
            <w:tcW w:w="737" w:type="dxa"/>
            <w:vAlign w:val="center"/>
          </w:tcPr>
          <w:p w14:paraId="1CCBC5B8">
            <w:pPr>
              <w:pStyle w:val="31"/>
              <w:spacing w:line="360" w:lineRule="auto"/>
              <w:jc w:val="center"/>
              <w:rPr>
                <w:rFonts w:ascii="宋体" w:hAnsi="宋体"/>
                <w:sz w:val="21"/>
                <w:szCs w:val="21"/>
                <w:highlight w:val="none"/>
              </w:rPr>
            </w:pPr>
            <w:r>
              <w:rPr>
                <w:rFonts w:ascii="宋体" w:hAnsi="宋体"/>
                <w:sz w:val="21"/>
                <w:szCs w:val="21"/>
                <w:highlight w:val="none"/>
              </w:rPr>
              <w:t>数量</w:t>
            </w:r>
          </w:p>
        </w:tc>
        <w:tc>
          <w:tcPr>
            <w:tcW w:w="764" w:type="dxa"/>
            <w:vAlign w:val="center"/>
          </w:tcPr>
          <w:p w14:paraId="506CE182">
            <w:pPr>
              <w:pStyle w:val="31"/>
              <w:spacing w:line="360" w:lineRule="auto"/>
              <w:jc w:val="center"/>
              <w:rPr>
                <w:rFonts w:ascii="宋体" w:hAnsi="宋体"/>
                <w:sz w:val="21"/>
                <w:szCs w:val="21"/>
                <w:highlight w:val="none"/>
              </w:rPr>
            </w:pPr>
            <w:r>
              <w:rPr>
                <w:rFonts w:ascii="宋体" w:hAnsi="宋体"/>
                <w:sz w:val="21"/>
                <w:szCs w:val="21"/>
                <w:highlight w:val="none"/>
              </w:rPr>
              <w:t>计量单位</w:t>
            </w:r>
          </w:p>
        </w:tc>
      </w:tr>
      <w:tr w14:paraId="40E9C18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91" w:type="dxa"/>
          </w:tcPr>
          <w:p w14:paraId="2BD76763">
            <w:pPr>
              <w:pStyle w:val="31"/>
              <w:spacing w:line="360" w:lineRule="auto"/>
              <w:rPr>
                <w:rFonts w:ascii="宋体" w:hAnsi="宋体"/>
                <w:sz w:val="21"/>
                <w:szCs w:val="21"/>
                <w:highlight w:val="none"/>
              </w:rPr>
            </w:pPr>
            <w:r>
              <w:rPr>
                <w:rFonts w:ascii="宋体" w:hAnsi="宋体"/>
                <w:sz w:val="21"/>
                <w:szCs w:val="21"/>
                <w:highlight w:val="none"/>
              </w:rPr>
              <w:t>1</w:t>
            </w:r>
          </w:p>
        </w:tc>
        <w:tc>
          <w:tcPr>
            <w:tcW w:w="1425" w:type="dxa"/>
          </w:tcPr>
          <w:p w14:paraId="01A61BDB">
            <w:pPr>
              <w:pStyle w:val="31"/>
              <w:spacing w:line="360" w:lineRule="auto"/>
              <w:rPr>
                <w:rFonts w:ascii="宋体" w:hAnsi="宋体"/>
                <w:sz w:val="21"/>
                <w:szCs w:val="21"/>
                <w:highlight w:val="none"/>
              </w:rPr>
            </w:pPr>
            <w:r>
              <w:rPr>
                <w:rFonts w:ascii="宋体" w:hAnsi="宋体"/>
                <w:sz w:val="21"/>
                <w:szCs w:val="21"/>
                <w:highlight w:val="none"/>
              </w:rPr>
              <w:t>拟派评审团队由项目负责人、审核人、复核人和其他各专业人员组成，保持相对固定且职责分工明确的队伍。项目负责人不得兼任审核人或复核人，审核人、复核人不能由同一人担任。</w:t>
            </w:r>
          </w:p>
          <w:p w14:paraId="5C8760B2">
            <w:pPr>
              <w:pStyle w:val="31"/>
              <w:spacing w:line="360" w:lineRule="auto"/>
              <w:rPr>
                <w:rFonts w:ascii="宋体" w:hAnsi="宋体"/>
                <w:sz w:val="21"/>
                <w:szCs w:val="21"/>
                <w:highlight w:val="none"/>
              </w:rPr>
            </w:pPr>
          </w:p>
        </w:tc>
        <w:tc>
          <w:tcPr>
            <w:tcW w:w="4788" w:type="dxa"/>
          </w:tcPr>
          <w:p w14:paraId="50957916">
            <w:pPr>
              <w:pStyle w:val="31"/>
              <w:spacing w:line="360" w:lineRule="auto"/>
              <w:rPr>
                <w:rFonts w:ascii="宋体" w:hAnsi="宋体"/>
                <w:sz w:val="21"/>
                <w:szCs w:val="21"/>
                <w:highlight w:val="none"/>
              </w:rPr>
            </w:pPr>
            <w:r>
              <w:rPr>
                <w:rFonts w:ascii="宋体" w:hAnsi="宋体"/>
                <w:sz w:val="21"/>
                <w:szCs w:val="21"/>
                <w:highlight w:val="none"/>
              </w:rPr>
              <w:t>1．拟投入的项目负责人：一名。应熟悉评审服务内容，有丰富的评审经验，能独立完成评审工作，为“2025年-2026年阳江市阳东区财政局投资评审服务项目”的项目负责人，负责本服务期内阳江市阳东区财政局投资审核中心评审服务，该项目负责人必须是入围供应商承诺的拟派人员，必须具有一级注册造价工程师（含原注册造价工程师）资格证书，并具有高级（或以上）工程师职称证书，且所有提交的成果文件须加盖项目负责人的执业印章及签名。</w:t>
            </w:r>
          </w:p>
          <w:p w14:paraId="11531FEE">
            <w:pPr>
              <w:pStyle w:val="31"/>
              <w:spacing w:line="360" w:lineRule="auto"/>
              <w:rPr>
                <w:rFonts w:ascii="宋体" w:hAnsi="宋体"/>
                <w:sz w:val="21"/>
                <w:szCs w:val="21"/>
                <w:highlight w:val="none"/>
              </w:rPr>
            </w:pPr>
            <w:r>
              <w:rPr>
                <w:rFonts w:ascii="宋体" w:hAnsi="宋体"/>
                <w:sz w:val="21"/>
                <w:szCs w:val="21"/>
                <w:highlight w:val="none"/>
              </w:rPr>
              <w:t>2．拟投入审核人和复核人：数名（不含项目负责人），审核人和复核人应熟悉评审服务内容，有丰富的概算、预算和财务决算评审经验，能独立完成评审工作且具有一级注册造价工程师（含原注册造价工程师）资格证书。</w:t>
            </w:r>
          </w:p>
          <w:p w14:paraId="3CFCA642">
            <w:pPr>
              <w:pStyle w:val="31"/>
              <w:spacing w:line="360" w:lineRule="auto"/>
              <w:rPr>
                <w:rFonts w:ascii="宋体" w:hAnsi="宋体"/>
                <w:sz w:val="21"/>
                <w:szCs w:val="21"/>
                <w:highlight w:val="none"/>
              </w:rPr>
            </w:pPr>
            <w:r>
              <w:rPr>
                <w:rFonts w:ascii="宋体" w:hAnsi="宋体"/>
                <w:sz w:val="21"/>
                <w:szCs w:val="21"/>
                <w:highlight w:val="none"/>
              </w:rPr>
              <w:t>3．拟配备其他专业人员：数名（除项目负责人、审核人和复核人），应熟悉评审服务内容，有丰富的概算、预算和财务决算评审经验且具有工程造价类高级技术职称或注册类造价师资格，证书的专业类别包括但不限于建筑工程、市政工程、机电工程、港口与航运工程、公路工程、水利水电工程等专业领域。</w:t>
            </w:r>
          </w:p>
          <w:p w14:paraId="4382FFAD">
            <w:pPr>
              <w:pStyle w:val="31"/>
              <w:spacing w:line="360" w:lineRule="auto"/>
              <w:rPr>
                <w:rFonts w:ascii="宋体" w:hAnsi="宋体"/>
                <w:sz w:val="21"/>
                <w:szCs w:val="21"/>
                <w:highlight w:val="none"/>
              </w:rPr>
            </w:pPr>
            <w:r>
              <w:rPr>
                <w:rFonts w:ascii="宋体" w:hAnsi="宋体"/>
                <w:sz w:val="21"/>
                <w:szCs w:val="21"/>
                <w:highlight w:val="none"/>
              </w:rPr>
              <w:t>4．项目评审人员必须为入围供应商在册专职人员，不得委派兼职或外聘人员负责或参与项目评审。派出人员一经确定不得随意变更，确需变更的必须报征集人审批同意，其中，项目负责人未经征集人书面允许擅自变更的，征集人有权停止委托评审业务。</w:t>
            </w:r>
          </w:p>
          <w:p w14:paraId="1397778D">
            <w:pPr>
              <w:pStyle w:val="31"/>
              <w:spacing w:line="360" w:lineRule="auto"/>
              <w:rPr>
                <w:rFonts w:ascii="宋体" w:hAnsi="宋体"/>
                <w:sz w:val="21"/>
                <w:szCs w:val="21"/>
                <w:highlight w:val="none"/>
              </w:rPr>
            </w:pPr>
            <w:r>
              <w:rPr>
                <w:rFonts w:ascii="宋体" w:hAnsi="宋体"/>
                <w:sz w:val="21"/>
                <w:szCs w:val="21"/>
                <w:highlight w:val="none"/>
              </w:rPr>
              <w:t>5．供应商必须具有满足业务需要的服务场所、交通工具、办公设备、造价评审管理软件等（造价审核管理软件需涵盖各专业，包括但不限于建筑、装饰、安装、市政、园林、修缮、水利水电、公路、土地开发整理、电力、港口航运、营造林等专业）。在确定第二阶段入围供应商前，入围供应商须承诺在</w:t>
            </w:r>
            <w:r>
              <w:rPr>
                <w:rFonts w:hint="eastAsia" w:ascii="宋体" w:hAnsi="宋体"/>
                <w:sz w:val="21"/>
                <w:szCs w:val="21"/>
                <w:highlight w:val="none"/>
              </w:rPr>
              <w:t>阳江市江城区或阳东区内</w:t>
            </w:r>
            <w:r>
              <w:rPr>
                <w:rFonts w:ascii="宋体" w:hAnsi="宋体"/>
                <w:sz w:val="21"/>
                <w:szCs w:val="21"/>
                <w:highlight w:val="none"/>
              </w:rPr>
              <w:t>有固定办公场地。（提供承诺或产权证明或租赁证明，承诺函格式自拟）</w:t>
            </w:r>
          </w:p>
        </w:tc>
        <w:tc>
          <w:tcPr>
            <w:tcW w:w="737" w:type="dxa"/>
          </w:tcPr>
          <w:p w14:paraId="34D21EAF">
            <w:pPr>
              <w:pStyle w:val="31"/>
              <w:spacing w:line="360" w:lineRule="auto"/>
              <w:rPr>
                <w:rFonts w:ascii="宋体" w:hAnsi="宋体"/>
                <w:sz w:val="21"/>
                <w:szCs w:val="21"/>
                <w:highlight w:val="none"/>
              </w:rPr>
            </w:pPr>
            <w:r>
              <w:rPr>
                <w:rFonts w:ascii="宋体" w:hAnsi="宋体"/>
                <w:sz w:val="21"/>
                <w:szCs w:val="21"/>
                <w:highlight w:val="none"/>
              </w:rPr>
              <w:t>1</w:t>
            </w:r>
          </w:p>
        </w:tc>
        <w:tc>
          <w:tcPr>
            <w:tcW w:w="764" w:type="dxa"/>
          </w:tcPr>
          <w:p w14:paraId="7BEFFDD5">
            <w:pPr>
              <w:pStyle w:val="31"/>
              <w:spacing w:line="360" w:lineRule="auto"/>
              <w:rPr>
                <w:rFonts w:ascii="宋体" w:hAnsi="宋体"/>
                <w:sz w:val="21"/>
                <w:szCs w:val="21"/>
                <w:highlight w:val="none"/>
              </w:rPr>
            </w:pPr>
            <w:r>
              <w:rPr>
                <w:rFonts w:ascii="宋体" w:hAnsi="宋体"/>
                <w:sz w:val="21"/>
                <w:szCs w:val="21"/>
                <w:highlight w:val="none"/>
              </w:rPr>
              <w:t>批</w:t>
            </w:r>
          </w:p>
        </w:tc>
      </w:tr>
    </w:tbl>
    <w:p w14:paraId="62B30AB9">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default"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商务要求</w:t>
      </w:r>
    </w:p>
    <w:p w14:paraId="09AF4682">
      <w:pPr>
        <w:pStyle w:val="31"/>
        <w:spacing w:line="360" w:lineRule="auto"/>
        <w:rPr>
          <w:rFonts w:hint="default"/>
          <w:sz w:val="21"/>
          <w:szCs w:val="21"/>
          <w:highlight w:val="none"/>
        </w:rPr>
      </w:pPr>
      <w:r>
        <w:rPr>
          <w:sz w:val="21"/>
          <w:szCs w:val="21"/>
          <w:highlight w:val="none"/>
        </w:rPr>
        <w:t>1.分包名称：概算、预算、财务决算评审服务</w:t>
      </w:r>
    </w:p>
    <w:p w14:paraId="2430A0E6">
      <w:pPr>
        <w:pStyle w:val="31"/>
        <w:spacing w:line="360" w:lineRule="auto"/>
        <w:ind w:firstLine="420" w:firstLineChars="200"/>
        <w:rPr>
          <w:rFonts w:hint="default"/>
          <w:sz w:val="21"/>
          <w:szCs w:val="21"/>
          <w:highlight w:val="none"/>
        </w:rPr>
      </w:pPr>
      <w:r>
        <w:rPr>
          <w:sz w:val="21"/>
          <w:szCs w:val="21"/>
          <w:highlight w:val="none"/>
        </w:rPr>
        <w:t>1）量价关系折扣：</w:t>
      </w:r>
    </w:p>
    <w:p w14:paraId="78996FD1">
      <w:pPr>
        <w:pStyle w:val="31"/>
        <w:spacing w:line="360" w:lineRule="auto"/>
        <w:ind w:firstLine="420" w:firstLineChars="200"/>
        <w:rPr>
          <w:rFonts w:hint="default"/>
          <w:sz w:val="21"/>
          <w:szCs w:val="21"/>
          <w:highlight w:val="none"/>
        </w:rPr>
      </w:pPr>
      <w:r>
        <w:rPr>
          <w:sz w:val="21"/>
          <w:szCs w:val="21"/>
          <w:highlight w:val="none"/>
        </w:rPr>
        <w:t>是否含有量价关系折扣：否</w:t>
      </w:r>
    </w:p>
    <w:p w14:paraId="3163A415">
      <w:pPr>
        <w:pStyle w:val="31"/>
        <w:spacing w:line="360" w:lineRule="auto"/>
        <w:ind w:firstLine="420" w:firstLineChars="200"/>
        <w:rPr>
          <w:rFonts w:hint="default"/>
          <w:sz w:val="21"/>
          <w:szCs w:val="21"/>
          <w:highlight w:val="none"/>
        </w:rPr>
      </w:pPr>
      <w:r>
        <w:rPr>
          <w:sz w:val="21"/>
          <w:szCs w:val="21"/>
          <w:highlight w:val="none"/>
        </w:rPr>
        <w:t>2）支付方式：一次性付款或分期付款</w:t>
      </w:r>
    </w:p>
    <w:p w14:paraId="569A768B">
      <w:pPr>
        <w:pStyle w:val="31"/>
        <w:spacing w:line="360" w:lineRule="auto"/>
        <w:ind w:firstLine="420" w:firstLineChars="200"/>
        <w:rPr>
          <w:rFonts w:hint="default"/>
          <w:sz w:val="21"/>
          <w:szCs w:val="21"/>
          <w:highlight w:val="none"/>
        </w:rPr>
      </w:pPr>
      <w:r>
        <w:rPr>
          <w:sz w:val="21"/>
          <w:szCs w:val="21"/>
          <w:highlight w:val="none"/>
        </w:rPr>
        <w:t>3）支付时间和条件：①采购人将对评审机构开展日常检查并定期对接受采购人对其进行考核验收。考核验收合格，一次性支付评审服务费。 ②由评审机构向采购人提交结算申请资料，经核实批准后拨付评审服务费，评审服务费原则上按季度结算。 注：入围供应商取得服务资格并不意味着获得工程概算、预算和财务决算评审业务，采购人将视项目的数量及对入围供应商的相关考核情况确定评审委托任务）。</w:t>
      </w:r>
    </w:p>
    <w:p w14:paraId="7EC2A62F">
      <w:pPr>
        <w:pStyle w:val="31"/>
        <w:spacing w:line="360" w:lineRule="auto"/>
        <w:ind w:firstLine="420" w:firstLineChars="200"/>
        <w:rPr>
          <w:rFonts w:hint="default"/>
          <w:sz w:val="21"/>
          <w:szCs w:val="21"/>
          <w:highlight w:val="none"/>
        </w:rPr>
      </w:pPr>
      <w:r>
        <w:rPr>
          <w:sz w:val="21"/>
          <w:szCs w:val="21"/>
          <w:highlight w:val="none"/>
        </w:rPr>
        <w:t>4）考核（验收）标准方法：</w:t>
      </w:r>
    </w:p>
    <w:p w14:paraId="0C6E444D">
      <w:pPr>
        <w:pStyle w:val="31"/>
        <w:spacing w:line="360" w:lineRule="auto"/>
        <w:ind w:firstLine="420" w:firstLineChars="200"/>
        <w:rPr>
          <w:rFonts w:hint="default"/>
          <w:sz w:val="21"/>
          <w:szCs w:val="21"/>
          <w:highlight w:val="none"/>
        </w:rPr>
      </w:pPr>
      <w:r>
        <w:rPr>
          <w:sz w:val="21"/>
          <w:szCs w:val="21"/>
          <w:highlight w:val="none"/>
        </w:rPr>
        <w:t>入围供应商应遵照征集文件要求和自身的服务承诺，按征集人要求开展项目服务工作，并接受征集人对其进行考核验收。征集人收到入围供应商项目正式版成果报告后尽快按照合同的约定对履约情况进行验收考核。如存在考核验收不合格的情形，征集人可提前终止框架合同。</w:t>
      </w:r>
    </w:p>
    <w:p w14:paraId="7D3EEEBF">
      <w:pPr>
        <w:pStyle w:val="31"/>
        <w:spacing w:line="360" w:lineRule="auto"/>
        <w:ind w:firstLine="420" w:firstLineChars="200"/>
        <w:rPr>
          <w:rFonts w:hint="default"/>
          <w:sz w:val="21"/>
          <w:szCs w:val="21"/>
          <w:highlight w:val="none"/>
        </w:rPr>
      </w:pPr>
      <w:r>
        <w:rPr>
          <w:sz w:val="21"/>
          <w:szCs w:val="21"/>
          <w:highlight w:val="none"/>
        </w:rPr>
        <w:t>①考核时间：阳江市阳东区财政局将对入围供应商开展日常检查并定期对阳江市阳东区政府投资项目评审服务机构进行考核。</w:t>
      </w:r>
    </w:p>
    <w:p w14:paraId="725A1F1A">
      <w:pPr>
        <w:pStyle w:val="31"/>
        <w:spacing w:line="360" w:lineRule="auto"/>
        <w:ind w:firstLine="420" w:firstLineChars="200"/>
        <w:rPr>
          <w:rFonts w:hint="eastAsia" w:eastAsiaTheme="minorEastAsia"/>
          <w:sz w:val="21"/>
          <w:szCs w:val="21"/>
          <w:highlight w:val="none"/>
          <w:lang w:eastAsia="zh-CN"/>
        </w:rPr>
      </w:pPr>
      <w:r>
        <w:rPr>
          <w:sz w:val="21"/>
          <w:szCs w:val="21"/>
          <w:highlight w:val="none"/>
        </w:rPr>
        <w:t>②考核内容：考核服务机构在考核期内完成项目的评审情况。包括：评审时效、重大事项报告及沟通协调、人员管理、资料管理、造价评审、评审分析、评审报告质量、服务态度、廉政纪律等</w:t>
      </w:r>
      <w:r>
        <w:rPr>
          <w:rFonts w:hint="eastAsia"/>
          <w:sz w:val="21"/>
          <w:szCs w:val="21"/>
          <w:highlight w:val="none"/>
          <w:lang w:eastAsia="zh-CN"/>
        </w:rPr>
        <w:t>。</w:t>
      </w:r>
    </w:p>
    <w:p w14:paraId="06682342">
      <w:pPr>
        <w:pStyle w:val="31"/>
        <w:spacing w:line="360" w:lineRule="auto"/>
        <w:ind w:firstLine="420" w:firstLineChars="200"/>
        <w:rPr>
          <w:rFonts w:hint="default"/>
          <w:sz w:val="21"/>
          <w:szCs w:val="21"/>
          <w:highlight w:val="none"/>
        </w:rPr>
      </w:pPr>
      <w:r>
        <w:rPr>
          <w:sz w:val="21"/>
          <w:szCs w:val="21"/>
          <w:highlight w:val="none"/>
        </w:rPr>
        <w:t>③考核方法：采用评分法，具体考核细则阳江市阳东区财政局将另行制定。</w:t>
      </w:r>
    </w:p>
    <w:p w14:paraId="641D435C">
      <w:pPr>
        <w:pStyle w:val="31"/>
        <w:spacing w:line="360" w:lineRule="auto"/>
        <w:ind w:firstLine="420" w:firstLineChars="200"/>
        <w:rPr>
          <w:rFonts w:hint="default"/>
          <w:sz w:val="21"/>
          <w:szCs w:val="21"/>
          <w:highlight w:val="none"/>
        </w:rPr>
      </w:pPr>
      <w:r>
        <w:rPr>
          <w:sz w:val="21"/>
          <w:szCs w:val="21"/>
          <w:highlight w:val="none"/>
        </w:rPr>
        <w:t>④奖惩办法：</w:t>
      </w:r>
    </w:p>
    <w:p w14:paraId="51AE1CF4">
      <w:pPr>
        <w:pStyle w:val="31"/>
        <w:spacing w:line="360" w:lineRule="auto"/>
        <w:ind w:firstLine="420" w:firstLineChars="200"/>
        <w:rPr>
          <w:rFonts w:hint="default"/>
          <w:sz w:val="21"/>
          <w:szCs w:val="21"/>
          <w:highlight w:val="none"/>
        </w:rPr>
      </w:pPr>
      <w:r>
        <w:rPr>
          <w:sz w:val="21"/>
          <w:szCs w:val="21"/>
          <w:highlight w:val="none"/>
        </w:rPr>
        <w:t>A.在考核中成绩差的，给予警告、减少项目委托次数、扣减评审费用等惩罚；</w:t>
      </w:r>
    </w:p>
    <w:p w14:paraId="1F999223">
      <w:pPr>
        <w:pStyle w:val="31"/>
        <w:spacing w:line="360" w:lineRule="auto"/>
        <w:ind w:firstLine="420" w:firstLineChars="200"/>
        <w:rPr>
          <w:rFonts w:hint="default"/>
          <w:sz w:val="21"/>
          <w:szCs w:val="21"/>
          <w:highlight w:val="none"/>
        </w:rPr>
      </w:pPr>
      <w:r>
        <w:rPr>
          <w:sz w:val="21"/>
          <w:szCs w:val="21"/>
          <w:highlight w:val="none"/>
        </w:rPr>
        <w:t>B.考核中发现违反法律的，将根据情节轻重给予暂停评审资格、取消评审资格处罚，情节特别严重的移交司法机关追究法律责任。</w:t>
      </w:r>
    </w:p>
    <w:p w14:paraId="618805DB">
      <w:pPr>
        <w:pStyle w:val="31"/>
        <w:spacing w:line="360" w:lineRule="auto"/>
        <w:ind w:firstLine="420" w:firstLineChars="200"/>
        <w:rPr>
          <w:rFonts w:hint="default"/>
          <w:sz w:val="21"/>
          <w:szCs w:val="21"/>
          <w:highlight w:val="none"/>
        </w:rPr>
      </w:pPr>
      <w:r>
        <w:rPr>
          <w:sz w:val="21"/>
          <w:szCs w:val="21"/>
          <w:highlight w:val="none"/>
        </w:rPr>
        <w:t>C.抽查审计发现偏差的，按如下扣减评审费，并减少委托评审次数：</w:t>
      </w:r>
    </w:p>
    <w:p w14:paraId="3A5584CA">
      <w:pPr>
        <w:pStyle w:val="31"/>
        <w:spacing w:line="360" w:lineRule="auto"/>
        <w:ind w:firstLine="420" w:firstLineChars="200"/>
        <w:rPr>
          <w:rFonts w:hint="default"/>
          <w:sz w:val="21"/>
          <w:szCs w:val="21"/>
          <w:highlight w:val="none"/>
        </w:rPr>
      </w:pPr>
      <w:r>
        <w:rPr>
          <w:sz w:val="21"/>
          <w:szCs w:val="21"/>
          <w:highlight w:val="none"/>
        </w:rPr>
        <w:t>a.1%＜偏差≤2%，对入围供应商进行口头或书面警告处理；</w:t>
      </w:r>
    </w:p>
    <w:p w14:paraId="7DD4183D">
      <w:pPr>
        <w:pStyle w:val="31"/>
        <w:spacing w:line="360" w:lineRule="auto"/>
        <w:ind w:firstLine="420" w:firstLineChars="200"/>
        <w:rPr>
          <w:rFonts w:hint="default"/>
          <w:sz w:val="21"/>
          <w:szCs w:val="21"/>
          <w:highlight w:val="none"/>
        </w:rPr>
      </w:pPr>
      <w:r>
        <w:rPr>
          <w:sz w:val="21"/>
          <w:szCs w:val="21"/>
          <w:highlight w:val="none"/>
        </w:rPr>
        <w:t>b.2%＜偏差≤3%，扣减评审费的30%，并停止委托轮候资格1次；</w:t>
      </w:r>
    </w:p>
    <w:p w14:paraId="4CB2DAB7">
      <w:pPr>
        <w:pStyle w:val="31"/>
        <w:spacing w:line="360" w:lineRule="auto"/>
        <w:ind w:firstLine="420" w:firstLineChars="200"/>
        <w:rPr>
          <w:rFonts w:hint="default"/>
          <w:sz w:val="21"/>
          <w:szCs w:val="21"/>
          <w:highlight w:val="none"/>
        </w:rPr>
      </w:pPr>
      <w:r>
        <w:rPr>
          <w:sz w:val="21"/>
          <w:szCs w:val="21"/>
          <w:highlight w:val="none"/>
        </w:rPr>
        <w:t>c.3%＜偏差≤5%，扣减评审费的60%，满三次停止委托轮候资格1个月；</w:t>
      </w:r>
    </w:p>
    <w:p w14:paraId="047D7062">
      <w:pPr>
        <w:pStyle w:val="31"/>
        <w:spacing w:line="360" w:lineRule="auto"/>
        <w:ind w:firstLine="420" w:firstLineChars="200"/>
        <w:rPr>
          <w:rFonts w:hint="default"/>
          <w:sz w:val="21"/>
          <w:szCs w:val="21"/>
          <w:highlight w:val="none"/>
        </w:rPr>
      </w:pPr>
      <w:r>
        <w:rPr>
          <w:sz w:val="21"/>
          <w:szCs w:val="21"/>
          <w:highlight w:val="none"/>
        </w:rPr>
        <w:t>d.5%＜偏差，扣减评审费的100%，满三次停止委托轮候资格2个月，年累计达到五次的，停止委托评审资格。</w:t>
      </w:r>
    </w:p>
    <w:p w14:paraId="5B4D012B">
      <w:pPr>
        <w:pStyle w:val="31"/>
        <w:spacing w:line="360" w:lineRule="auto"/>
        <w:ind w:firstLine="420" w:firstLineChars="200"/>
        <w:rPr>
          <w:rFonts w:hint="default"/>
          <w:sz w:val="21"/>
          <w:szCs w:val="21"/>
          <w:highlight w:val="none"/>
        </w:rPr>
      </w:pPr>
      <w:r>
        <w:rPr>
          <w:sz w:val="21"/>
          <w:szCs w:val="21"/>
          <w:highlight w:val="none"/>
        </w:rPr>
        <w:t>5） 违约责任：</w:t>
      </w:r>
    </w:p>
    <w:p w14:paraId="3432B6D9">
      <w:pPr>
        <w:pStyle w:val="31"/>
        <w:spacing w:line="360" w:lineRule="auto"/>
        <w:ind w:firstLine="420" w:firstLineChars="200"/>
        <w:rPr>
          <w:rFonts w:hint="default"/>
          <w:sz w:val="21"/>
          <w:szCs w:val="21"/>
          <w:highlight w:val="none"/>
        </w:rPr>
      </w:pPr>
      <w:r>
        <w:rPr>
          <w:sz w:val="21"/>
          <w:szCs w:val="21"/>
          <w:highlight w:val="none"/>
        </w:rPr>
        <w:t>根据第二阶段的合同执行。</w:t>
      </w:r>
    </w:p>
    <w:p w14:paraId="189D6FB6">
      <w:pPr>
        <w:pStyle w:val="31"/>
        <w:spacing w:line="360" w:lineRule="auto"/>
        <w:ind w:firstLine="420" w:firstLineChars="200"/>
        <w:rPr>
          <w:rFonts w:hint="default"/>
          <w:sz w:val="21"/>
          <w:szCs w:val="21"/>
          <w:highlight w:val="none"/>
        </w:rPr>
      </w:pPr>
      <w:r>
        <w:rPr>
          <w:sz w:val="21"/>
          <w:szCs w:val="21"/>
          <w:highlight w:val="none"/>
        </w:rPr>
        <w:t>6） 解决争议的方式：</w:t>
      </w:r>
    </w:p>
    <w:p w14:paraId="6AD35A87">
      <w:pPr>
        <w:pStyle w:val="31"/>
        <w:spacing w:line="360" w:lineRule="auto"/>
        <w:ind w:firstLine="420" w:firstLineChars="200"/>
        <w:rPr>
          <w:rFonts w:hint="default"/>
          <w:sz w:val="21"/>
          <w:szCs w:val="21"/>
          <w:highlight w:val="none"/>
        </w:rPr>
      </w:pPr>
      <w:r>
        <w:rPr>
          <w:sz w:val="21"/>
          <w:szCs w:val="21"/>
          <w:highlight w:val="none"/>
        </w:rPr>
        <w:t>因本合同引起的争议，甲乙双方应友好协商解决。协调不能达成一致的，</w:t>
      </w:r>
      <w:r>
        <w:rPr>
          <w:rFonts w:hint="eastAsia"/>
          <w:sz w:val="21"/>
          <w:szCs w:val="21"/>
          <w:highlight w:val="none"/>
        </w:rPr>
        <w:t>任一方均有权向甲方所在地有管辖权的人民法院提起诉讼</w:t>
      </w:r>
      <w:r>
        <w:rPr>
          <w:sz w:val="21"/>
          <w:szCs w:val="21"/>
          <w:highlight w:val="none"/>
        </w:rPr>
        <w:t>。</w:t>
      </w:r>
    </w:p>
    <w:p w14:paraId="742067F6">
      <w:pPr>
        <w:pStyle w:val="31"/>
        <w:numPr>
          <w:ilvl w:val="0"/>
          <w:numId w:val="3"/>
        </w:numPr>
        <w:spacing w:line="360" w:lineRule="auto"/>
        <w:ind w:firstLine="420" w:firstLineChars="200"/>
        <w:rPr>
          <w:sz w:val="21"/>
          <w:szCs w:val="21"/>
          <w:highlight w:val="none"/>
        </w:rPr>
      </w:pPr>
      <w:r>
        <w:rPr>
          <w:sz w:val="21"/>
          <w:szCs w:val="21"/>
          <w:highlight w:val="none"/>
        </w:rPr>
        <w:t>商务及其他要求：</w:t>
      </w:r>
    </w:p>
    <w:p w14:paraId="4944DCD6">
      <w:pPr>
        <w:pStyle w:val="31"/>
        <w:spacing w:line="360" w:lineRule="auto"/>
        <w:ind w:firstLine="420" w:firstLineChars="200"/>
        <w:rPr>
          <w:rFonts w:hint="eastAsia" w:eastAsiaTheme="minorEastAsia"/>
          <w:sz w:val="21"/>
          <w:szCs w:val="21"/>
          <w:highlight w:val="none"/>
          <w:lang w:eastAsia="zh-CN"/>
        </w:rPr>
      </w:pPr>
      <w:r>
        <w:rPr>
          <w:sz w:val="21"/>
          <w:szCs w:val="21"/>
          <w:highlight w:val="none"/>
        </w:rPr>
        <w:t>①框架协议期限</w:t>
      </w:r>
      <w:r>
        <w:rPr>
          <w:rFonts w:hint="eastAsia"/>
          <w:sz w:val="21"/>
          <w:szCs w:val="21"/>
          <w:highlight w:val="none"/>
          <w:lang w:eastAsia="zh-CN"/>
        </w:rPr>
        <w:t>：1年，自协议生效之日起计算。服务期内，无正当理由不得拒绝委托。已接受委托的项目，入围供应商必须按照协议要求按时按质完成任务。入围供应商不得以任何方式转包或分包本项目。（少于该服务期将作为无效响应处理）。</w:t>
      </w:r>
    </w:p>
    <w:p w14:paraId="71D8D7E1">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default"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其他要求</w:t>
      </w:r>
    </w:p>
    <w:p w14:paraId="26DEC049">
      <w:pPr>
        <w:pStyle w:val="31"/>
        <w:spacing w:line="360" w:lineRule="auto"/>
        <w:rPr>
          <w:rFonts w:hint="default"/>
          <w:sz w:val="21"/>
          <w:szCs w:val="21"/>
          <w:highlight w:val="none"/>
        </w:rPr>
      </w:pPr>
      <w:r>
        <w:rPr>
          <w:rFonts w:ascii="宋体" w:hAnsi="宋体"/>
          <w:sz w:val="21"/>
          <w:szCs w:val="21"/>
          <w:highlight w:val="none"/>
        </w:rPr>
        <w:t>1.项目说明：本项目预算金额约600万元，根据《政府采购框架协议采购方式管理暂行办法》（中华人民共和国财政部令第110号）、财政部关于印发《财政投资评审管理规定》的通知（财建[2009]648号）、广东省财政性资金基本建设投资评审暂行办法（粤财基〔2000〕18号）及阳江市阳东区财政局投资审核中心的工作要求，本项目采用封闭式框架协议采购方式公开征集服务企业，服务企业在服务协议期内接受征集人的委托，对财政性资金安排的项目建设、维护、修缮等项目的工程概预决算造价进行评审，包括对项目概预决算评审的真实性、准确性、完整性和时效性等评审；项目基本建设程序合规性和基本建设管理制度执行情况评审；项目招标程序、招标方式、征集文件、各项合同等合规性评审；以及协助招标人做好工程造价评审的其他专业性工作。其中，入围供应商如有竣工财务决算经营资格的，将获得竣工财务决算评审服务资格。本项目拟征集8名入围供应商承担概算、预算、财务决算评审服务。（注：入围供应商取得服务资格并不意味着获得工程概算、预算评审业务及概算、决算评审业务，采购人将视项目的数量及对入围供应商的相关考核情况确定评审委托任务）。</w:t>
      </w:r>
    </w:p>
    <w:p w14:paraId="4A837993">
      <w:pPr>
        <w:pStyle w:val="31"/>
        <w:spacing w:line="360" w:lineRule="auto"/>
        <w:rPr>
          <w:rFonts w:hint="default"/>
          <w:sz w:val="21"/>
          <w:szCs w:val="21"/>
          <w:highlight w:val="none"/>
        </w:rPr>
      </w:pPr>
      <w:r>
        <w:rPr>
          <w:rFonts w:ascii="宋体" w:hAnsi="宋体"/>
          <w:sz w:val="21"/>
          <w:szCs w:val="21"/>
          <w:highlight w:val="none"/>
        </w:rPr>
        <w:t>2．根据《政府采购框架协议采购方式管理暂行办法》（中华人民共和国财政部令第110号）、财政部关于印发《财政投资评审管理规定》的通知（财建[2009]648号）、 广东省财政性资金基本建设投资评审暂行办法（粤财基〔2000〕18号）及阳江市阳东区财政局的工作要求，本项目采用框架协议方式公开征集服务企业，参与协助征集人开展对财政性资金安排的项目建设、维护、修缮等项目的工程概预决算造价进行评审服务。按评审顺序确定第一阶段入围供应商。</w:t>
      </w:r>
    </w:p>
    <w:p w14:paraId="30DBDA10">
      <w:pPr>
        <w:pStyle w:val="31"/>
        <w:spacing w:line="360" w:lineRule="auto"/>
        <w:rPr>
          <w:rFonts w:hint="default"/>
          <w:sz w:val="21"/>
          <w:szCs w:val="21"/>
          <w:highlight w:val="none"/>
        </w:rPr>
      </w:pPr>
      <w:r>
        <w:rPr>
          <w:rFonts w:ascii="宋体" w:hAnsi="宋体"/>
          <w:sz w:val="21"/>
          <w:szCs w:val="21"/>
          <w:highlight w:val="none"/>
        </w:rPr>
        <w:t>（1）本项目入围供应商淘汰比例不低于20.00%，且至少淘汰1家供应商。当符合资格条件、实质性要求的响应供应商仅为2家时，淘汰1家供应商；当符合资格条件、实质性要求的响应供应商大于2家时，按比例淘汰供应商。</w:t>
      </w:r>
    </w:p>
    <w:p w14:paraId="7D497399">
      <w:pPr>
        <w:pStyle w:val="31"/>
        <w:spacing w:line="360" w:lineRule="auto"/>
        <w:rPr>
          <w:rFonts w:hint="default"/>
          <w:sz w:val="21"/>
          <w:szCs w:val="21"/>
          <w:highlight w:val="none"/>
        </w:rPr>
      </w:pPr>
      <w:r>
        <w:rPr>
          <w:rFonts w:ascii="宋体" w:hAnsi="宋体"/>
          <w:sz w:val="21"/>
          <w:szCs w:val="21"/>
          <w:highlight w:val="none"/>
        </w:rPr>
        <w:t>（2）本项目入围供应商数量上限为8家，当按照前款规定的淘汰比例淘汰供应商后，供应商数量仍大于征集入围上限的，则按评审排序和上限数量要求淘汰其余供应商。将本项目的有效响应供应商按其评标总得分由高到低顺序排列，评标总得分相同的，按价格得分（由高到低）顺序比较确定，价格得分也相同的，按详细评审得分（由高到低）顺序比较确定，如以上都相同的，名次由评标委员会抽签确定。如推荐的入围供应商不足上述要求的数量，则依上述的推荐原则按实际数量推荐。</w:t>
      </w:r>
    </w:p>
    <w:p w14:paraId="05E4A1FB">
      <w:pPr>
        <w:pStyle w:val="31"/>
        <w:spacing w:line="360" w:lineRule="auto"/>
        <w:rPr>
          <w:rFonts w:ascii="宋体" w:hAnsi="宋体"/>
          <w:sz w:val="21"/>
          <w:szCs w:val="21"/>
          <w:highlight w:val="none"/>
        </w:rPr>
      </w:pPr>
      <w:r>
        <w:rPr>
          <w:rFonts w:ascii="宋体" w:hAnsi="宋体"/>
          <w:sz w:val="21"/>
          <w:szCs w:val="21"/>
          <w:highlight w:val="none"/>
        </w:rPr>
        <w:t>4．造价咨询费收费标准：</w:t>
      </w:r>
    </w:p>
    <w:p w14:paraId="2F26D527">
      <w:pPr>
        <w:pStyle w:val="31"/>
        <w:spacing w:line="360" w:lineRule="auto"/>
        <w:rPr>
          <w:rFonts w:ascii="宋体" w:hAnsi="宋体"/>
          <w:sz w:val="21"/>
          <w:szCs w:val="21"/>
          <w:highlight w:val="none"/>
        </w:rPr>
      </w:pPr>
      <w:r>
        <w:rPr>
          <w:rFonts w:ascii="宋体" w:hAnsi="宋体"/>
          <w:sz w:val="21"/>
          <w:szCs w:val="21"/>
          <w:highlight w:val="none"/>
        </w:rPr>
        <w:t>（1）计费基准数。评审费用计费基准数为评审项目</w:t>
      </w:r>
      <w:r>
        <w:rPr>
          <w:rFonts w:hint="eastAsia" w:ascii="宋体" w:hAnsi="宋体"/>
          <w:sz w:val="21"/>
          <w:szCs w:val="21"/>
          <w:highlight w:val="none"/>
          <w:lang w:val="en-US" w:eastAsia="zh-CN"/>
        </w:rPr>
        <w:t>审定价</w:t>
      </w:r>
      <w:r>
        <w:rPr>
          <w:rFonts w:ascii="宋体" w:hAnsi="宋体"/>
          <w:sz w:val="21"/>
          <w:szCs w:val="21"/>
          <w:highlight w:val="none"/>
        </w:rPr>
        <w:t>。</w:t>
      </w:r>
    </w:p>
    <w:p w14:paraId="7FCC1121">
      <w:pPr>
        <w:pStyle w:val="31"/>
        <w:spacing w:line="360" w:lineRule="auto"/>
        <w:rPr>
          <w:rFonts w:ascii="宋体" w:hAnsi="宋体"/>
          <w:sz w:val="21"/>
          <w:szCs w:val="21"/>
          <w:highlight w:val="none"/>
        </w:rPr>
      </w:pPr>
      <w:r>
        <w:rPr>
          <w:rFonts w:ascii="宋体" w:hAnsi="宋体"/>
          <w:sz w:val="21"/>
          <w:szCs w:val="21"/>
          <w:highlight w:val="none"/>
        </w:rPr>
        <w:t>（2）预算评审类项目（含信息化项目）：预算评审服务费=计费基准价（见附件1、附件3）*报价折扣率；</w:t>
      </w:r>
    </w:p>
    <w:p w14:paraId="52BA28A1">
      <w:pPr>
        <w:pStyle w:val="31"/>
        <w:spacing w:line="360" w:lineRule="auto"/>
        <w:rPr>
          <w:rFonts w:ascii="宋体" w:hAnsi="宋体"/>
          <w:sz w:val="21"/>
          <w:szCs w:val="21"/>
          <w:highlight w:val="none"/>
        </w:rPr>
      </w:pPr>
      <w:r>
        <w:rPr>
          <w:rFonts w:ascii="宋体" w:hAnsi="宋体"/>
          <w:sz w:val="21"/>
          <w:szCs w:val="21"/>
          <w:highlight w:val="none"/>
        </w:rPr>
        <w:t>（3）概算评审类项目：概算评审服务费=计费基准价（见附件1）*报价折扣率；</w:t>
      </w:r>
    </w:p>
    <w:p w14:paraId="4AB59C41">
      <w:pPr>
        <w:pStyle w:val="31"/>
        <w:spacing w:line="360" w:lineRule="auto"/>
        <w:rPr>
          <w:rFonts w:ascii="宋体" w:hAnsi="宋体"/>
          <w:sz w:val="21"/>
          <w:szCs w:val="21"/>
          <w:highlight w:val="none"/>
        </w:rPr>
      </w:pPr>
      <w:r>
        <w:rPr>
          <w:rFonts w:ascii="宋体" w:hAnsi="宋体"/>
          <w:sz w:val="21"/>
          <w:szCs w:val="21"/>
          <w:highlight w:val="none"/>
        </w:rPr>
        <w:t>（4）项目竣工财务决算评审类项目：项目竣工财务决算评审服务费=计费基准价（见附件2）*报价折扣率。</w:t>
      </w:r>
    </w:p>
    <w:p w14:paraId="34383571">
      <w:pPr>
        <w:pStyle w:val="31"/>
        <w:spacing w:line="360" w:lineRule="auto"/>
        <w:rPr>
          <w:rFonts w:ascii="宋体" w:hAnsi="宋体"/>
          <w:sz w:val="21"/>
          <w:szCs w:val="21"/>
          <w:highlight w:val="none"/>
        </w:rPr>
      </w:pPr>
      <w:r>
        <w:rPr>
          <w:rFonts w:ascii="宋体" w:hAnsi="宋体"/>
          <w:sz w:val="21"/>
          <w:szCs w:val="21"/>
          <w:highlight w:val="none"/>
        </w:rPr>
        <w:t>（5）评审服务费最低付费额：单项概算预算按收费标准计算的付费金额不足</w:t>
      </w:r>
      <w:r>
        <w:rPr>
          <w:rFonts w:hint="default" w:ascii="宋体" w:hAnsi="宋体"/>
          <w:sz w:val="21"/>
          <w:szCs w:val="21"/>
          <w:highlight w:val="none"/>
        </w:rPr>
        <w:t>1500</w:t>
      </w:r>
      <w:r>
        <w:rPr>
          <w:rFonts w:ascii="宋体" w:hAnsi="宋体"/>
          <w:sz w:val="21"/>
          <w:szCs w:val="21"/>
          <w:highlight w:val="none"/>
        </w:rPr>
        <w:t>元的按</w:t>
      </w:r>
      <w:r>
        <w:rPr>
          <w:rFonts w:hint="default" w:ascii="宋体" w:hAnsi="宋体"/>
          <w:sz w:val="21"/>
          <w:szCs w:val="21"/>
          <w:highlight w:val="none"/>
        </w:rPr>
        <w:t>1500</w:t>
      </w:r>
      <w:r>
        <w:rPr>
          <w:rFonts w:ascii="宋体" w:hAnsi="宋体"/>
          <w:sz w:val="21"/>
          <w:szCs w:val="21"/>
          <w:highlight w:val="none"/>
        </w:rPr>
        <w:t>元计算。</w:t>
      </w:r>
    </w:p>
    <w:p w14:paraId="337920B1">
      <w:pPr>
        <w:pStyle w:val="31"/>
        <w:spacing w:line="36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5</w:t>
      </w:r>
      <w:r>
        <w:rPr>
          <w:rFonts w:ascii="宋体" w:hAnsi="宋体"/>
          <w:sz w:val="21"/>
          <w:szCs w:val="21"/>
          <w:highlight w:val="none"/>
        </w:rPr>
        <w:t>．</w:t>
      </w:r>
      <w:r>
        <w:rPr>
          <w:rFonts w:hint="eastAsia" w:ascii="宋体" w:hAnsi="宋体"/>
          <w:sz w:val="21"/>
          <w:szCs w:val="21"/>
          <w:highlight w:val="none"/>
          <w:lang w:val="en-US" w:eastAsia="zh-CN"/>
        </w:rPr>
        <w:t>响应文件要求：</w:t>
      </w:r>
    </w:p>
    <w:p w14:paraId="1961861B">
      <w:pPr>
        <w:pStyle w:val="31"/>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5.1供应商应针对项目需求，结合自身实际情况制定</w:t>
      </w:r>
      <w:r>
        <w:rPr>
          <w:rFonts w:ascii="宋体" w:hAnsi="宋体"/>
          <w:sz w:val="21"/>
          <w:szCs w:val="21"/>
          <w:highlight w:val="none"/>
        </w:rPr>
        <w:t>项目实施方案</w:t>
      </w:r>
      <w:r>
        <w:rPr>
          <w:rFonts w:hint="eastAsia" w:ascii="宋体" w:hAnsi="宋体"/>
          <w:sz w:val="21"/>
          <w:szCs w:val="21"/>
          <w:highlight w:val="none"/>
          <w:lang w:eastAsia="zh-CN"/>
        </w:rPr>
        <w:t>，</w:t>
      </w:r>
      <w:r>
        <w:rPr>
          <w:rFonts w:hint="eastAsia" w:ascii="宋体" w:hAnsi="宋体"/>
          <w:sz w:val="21"/>
          <w:szCs w:val="21"/>
          <w:highlight w:val="none"/>
          <w:lang w:val="en-US" w:eastAsia="zh-CN"/>
        </w:rPr>
        <w:t>项目实施方案应充分响应需求并至少包括</w:t>
      </w:r>
      <w:r>
        <w:rPr>
          <w:rFonts w:ascii="宋体" w:hAnsi="宋体"/>
          <w:sz w:val="21"/>
          <w:szCs w:val="21"/>
          <w:highlight w:val="none"/>
        </w:rPr>
        <w:t>服务团队稳定性保障</w:t>
      </w:r>
      <w:r>
        <w:rPr>
          <w:rFonts w:hint="eastAsia" w:ascii="宋体" w:hAnsi="宋体"/>
          <w:sz w:val="21"/>
          <w:szCs w:val="21"/>
          <w:highlight w:val="none"/>
          <w:lang w:eastAsia="zh-CN"/>
        </w:rPr>
        <w:t>、</w:t>
      </w:r>
      <w:r>
        <w:rPr>
          <w:rFonts w:ascii="宋体" w:hAnsi="宋体"/>
          <w:sz w:val="21"/>
          <w:szCs w:val="21"/>
          <w:highlight w:val="none"/>
        </w:rPr>
        <w:t>审核质量控制措施</w:t>
      </w:r>
      <w:r>
        <w:rPr>
          <w:rFonts w:hint="eastAsia" w:ascii="宋体" w:hAnsi="宋体"/>
          <w:sz w:val="21"/>
          <w:szCs w:val="21"/>
          <w:highlight w:val="none"/>
          <w:lang w:eastAsia="zh-CN"/>
        </w:rPr>
        <w:t>。</w:t>
      </w:r>
      <w:r>
        <w:rPr>
          <w:rFonts w:hint="eastAsia" w:ascii="宋体" w:hAnsi="宋体"/>
          <w:sz w:val="21"/>
          <w:szCs w:val="21"/>
          <w:highlight w:val="none"/>
          <w:lang w:val="en-US" w:eastAsia="zh-CN"/>
        </w:rPr>
        <w:t>方案内容应详细具体，合理可行。</w:t>
      </w:r>
    </w:p>
    <w:p w14:paraId="62A0AB21">
      <w:pPr>
        <w:pStyle w:val="31"/>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5.2供应商应针对项目需求，结合自身实际情况制定</w:t>
      </w:r>
      <w:r>
        <w:rPr>
          <w:rFonts w:ascii="宋体" w:hAnsi="宋体"/>
          <w:sz w:val="21"/>
          <w:szCs w:val="21"/>
          <w:highlight w:val="none"/>
        </w:rPr>
        <w:t>项目制度建设</w:t>
      </w:r>
      <w:r>
        <w:rPr>
          <w:rFonts w:hint="eastAsia" w:ascii="宋体" w:hAnsi="宋体"/>
          <w:sz w:val="21"/>
          <w:szCs w:val="21"/>
          <w:highlight w:val="none"/>
          <w:lang w:eastAsia="zh-CN"/>
        </w:rPr>
        <w:t>，</w:t>
      </w:r>
      <w:r>
        <w:rPr>
          <w:rFonts w:hint="eastAsia" w:ascii="宋体" w:hAnsi="宋体"/>
          <w:sz w:val="21"/>
          <w:szCs w:val="21"/>
          <w:highlight w:val="none"/>
          <w:lang w:val="en-US" w:eastAsia="zh-CN"/>
        </w:rPr>
        <w:t>项目</w:t>
      </w:r>
      <w:r>
        <w:rPr>
          <w:rFonts w:ascii="宋体" w:hAnsi="宋体"/>
          <w:sz w:val="21"/>
          <w:szCs w:val="21"/>
          <w:highlight w:val="none"/>
        </w:rPr>
        <w:t>制度建设</w:t>
      </w:r>
      <w:r>
        <w:rPr>
          <w:rFonts w:hint="eastAsia" w:ascii="宋体" w:hAnsi="宋体"/>
          <w:sz w:val="21"/>
          <w:szCs w:val="21"/>
          <w:highlight w:val="none"/>
          <w:lang w:val="en-US" w:eastAsia="zh-CN"/>
        </w:rPr>
        <w:t>应充分响应需求并至少包括评审制度方案、提供复审制度方案、提供档案管理制度方案、提供保密制度方案、提供廉政纪律制度方案</w:t>
      </w:r>
      <w:r>
        <w:rPr>
          <w:rFonts w:hint="eastAsia" w:ascii="宋体" w:hAnsi="宋体"/>
          <w:sz w:val="21"/>
          <w:szCs w:val="21"/>
          <w:highlight w:val="none"/>
          <w:lang w:eastAsia="zh-CN"/>
        </w:rPr>
        <w:t>。</w:t>
      </w:r>
      <w:r>
        <w:rPr>
          <w:rFonts w:hint="eastAsia" w:ascii="宋体" w:hAnsi="宋体"/>
          <w:sz w:val="21"/>
          <w:szCs w:val="21"/>
          <w:highlight w:val="none"/>
          <w:lang w:val="en-US" w:eastAsia="zh-CN"/>
        </w:rPr>
        <w:t>方案内容应详细具体，合理可行。</w:t>
      </w:r>
    </w:p>
    <w:p w14:paraId="06711A12">
      <w:pPr>
        <w:pStyle w:val="31"/>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5.3供应商应针对项目需求，结合自身实际情况制定</w:t>
      </w:r>
      <w:r>
        <w:rPr>
          <w:rFonts w:ascii="宋体" w:hAnsi="宋体"/>
          <w:sz w:val="21"/>
          <w:szCs w:val="21"/>
          <w:highlight w:val="none"/>
        </w:rPr>
        <w:t>服务响应应急</w:t>
      </w:r>
      <w:r>
        <w:rPr>
          <w:rFonts w:hint="eastAsia" w:ascii="宋体" w:hAnsi="宋体"/>
          <w:sz w:val="21"/>
          <w:szCs w:val="21"/>
          <w:highlight w:val="none"/>
          <w:lang w:val="en-US" w:eastAsia="zh-CN"/>
        </w:rPr>
        <w:t>方案</w:t>
      </w:r>
      <w:r>
        <w:rPr>
          <w:rFonts w:hint="eastAsia" w:ascii="宋体" w:hAnsi="宋体"/>
          <w:sz w:val="21"/>
          <w:szCs w:val="21"/>
          <w:highlight w:val="none"/>
          <w:lang w:eastAsia="zh-CN"/>
        </w:rPr>
        <w:t>，</w:t>
      </w:r>
      <w:r>
        <w:rPr>
          <w:rFonts w:ascii="宋体" w:hAnsi="宋体"/>
          <w:sz w:val="21"/>
          <w:szCs w:val="21"/>
          <w:highlight w:val="none"/>
        </w:rPr>
        <w:t>服务响应应急</w:t>
      </w:r>
      <w:r>
        <w:rPr>
          <w:rFonts w:hint="eastAsia" w:ascii="宋体" w:hAnsi="宋体"/>
          <w:sz w:val="21"/>
          <w:szCs w:val="21"/>
          <w:highlight w:val="none"/>
          <w:lang w:val="en-US" w:eastAsia="zh-CN"/>
        </w:rPr>
        <w:t>方案应充分响应需求并至少包括服务响应计划、应急措施</w:t>
      </w:r>
      <w:r>
        <w:rPr>
          <w:rFonts w:hint="eastAsia" w:ascii="宋体" w:hAnsi="宋体"/>
          <w:sz w:val="21"/>
          <w:szCs w:val="21"/>
          <w:highlight w:val="none"/>
          <w:lang w:eastAsia="zh-CN"/>
        </w:rPr>
        <w:t>。</w:t>
      </w:r>
      <w:r>
        <w:rPr>
          <w:rFonts w:hint="eastAsia" w:ascii="宋体" w:hAnsi="宋体"/>
          <w:sz w:val="21"/>
          <w:szCs w:val="21"/>
          <w:highlight w:val="none"/>
          <w:lang w:val="en-US" w:eastAsia="zh-CN"/>
        </w:rPr>
        <w:t>方案内容应详细具体，合理可行。</w:t>
      </w:r>
    </w:p>
    <w:p w14:paraId="017DD211">
      <w:pPr>
        <w:pStyle w:val="31"/>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5.4供应商应针对项目需求，结合自身实际情况制定</w:t>
      </w:r>
      <w:r>
        <w:rPr>
          <w:rFonts w:ascii="宋体" w:hAnsi="宋体"/>
          <w:sz w:val="21"/>
          <w:szCs w:val="21"/>
          <w:highlight w:val="none"/>
        </w:rPr>
        <w:t>项目实施方案</w:t>
      </w:r>
      <w:r>
        <w:rPr>
          <w:rFonts w:hint="eastAsia" w:ascii="宋体" w:hAnsi="宋体"/>
          <w:sz w:val="21"/>
          <w:szCs w:val="21"/>
          <w:highlight w:val="none"/>
          <w:lang w:eastAsia="zh-CN"/>
        </w:rPr>
        <w:t>，</w:t>
      </w:r>
      <w:r>
        <w:rPr>
          <w:rFonts w:hint="eastAsia" w:ascii="宋体" w:hAnsi="宋体"/>
          <w:sz w:val="21"/>
          <w:szCs w:val="21"/>
          <w:highlight w:val="none"/>
          <w:lang w:val="en-US" w:eastAsia="zh-CN"/>
        </w:rPr>
        <w:t>项目实施方案应充分响应需求并至少包括</w:t>
      </w:r>
      <w:r>
        <w:rPr>
          <w:rFonts w:ascii="宋体" w:hAnsi="宋体"/>
          <w:sz w:val="21"/>
          <w:szCs w:val="21"/>
          <w:highlight w:val="none"/>
        </w:rPr>
        <w:t>服务团队稳定性保障</w:t>
      </w:r>
      <w:r>
        <w:rPr>
          <w:rFonts w:hint="eastAsia" w:ascii="宋体" w:hAnsi="宋体"/>
          <w:sz w:val="21"/>
          <w:szCs w:val="21"/>
          <w:highlight w:val="none"/>
          <w:lang w:eastAsia="zh-CN"/>
        </w:rPr>
        <w:t>、</w:t>
      </w:r>
      <w:r>
        <w:rPr>
          <w:rFonts w:ascii="宋体" w:hAnsi="宋体"/>
          <w:sz w:val="21"/>
          <w:szCs w:val="21"/>
          <w:highlight w:val="none"/>
        </w:rPr>
        <w:t>审核质量控制措施</w:t>
      </w:r>
      <w:r>
        <w:rPr>
          <w:rFonts w:hint="eastAsia" w:ascii="宋体" w:hAnsi="宋体"/>
          <w:sz w:val="21"/>
          <w:szCs w:val="21"/>
          <w:highlight w:val="none"/>
          <w:lang w:eastAsia="zh-CN"/>
        </w:rPr>
        <w:t>。</w:t>
      </w:r>
      <w:r>
        <w:rPr>
          <w:rFonts w:hint="eastAsia" w:ascii="宋体" w:hAnsi="宋体"/>
          <w:sz w:val="21"/>
          <w:szCs w:val="21"/>
          <w:highlight w:val="none"/>
          <w:lang w:val="en-US" w:eastAsia="zh-CN"/>
        </w:rPr>
        <w:t>方案内容应详细具体，合理可行。</w:t>
      </w:r>
    </w:p>
    <w:p w14:paraId="642B43EE">
      <w:pPr>
        <w:pStyle w:val="31"/>
        <w:spacing w:line="360" w:lineRule="auto"/>
        <w:rPr>
          <w:rFonts w:ascii="宋体" w:hAnsi="宋体"/>
          <w:sz w:val="21"/>
          <w:szCs w:val="21"/>
          <w:highlight w:val="none"/>
        </w:rPr>
      </w:pPr>
    </w:p>
    <w:p w14:paraId="0BAE8CA1">
      <w:pPr>
        <w:pStyle w:val="31"/>
        <w:spacing w:line="360" w:lineRule="auto"/>
        <w:rPr>
          <w:rFonts w:ascii="宋体" w:hAnsi="宋体"/>
          <w:sz w:val="21"/>
          <w:szCs w:val="21"/>
          <w:highlight w:val="none"/>
        </w:rPr>
      </w:pPr>
    </w:p>
    <w:p w14:paraId="6B6702FE">
      <w:pPr>
        <w:rPr>
          <w:rFonts w:hint="eastAsia" w:ascii="宋体" w:hAnsi="宋体"/>
          <w:szCs w:val="21"/>
          <w:highlight w:val="none"/>
        </w:rPr>
        <w:sectPr>
          <w:footerReference r:id="rId3" w:type="default"/>
          <w:pgSz w:w="11906" w:h="16838"/>
          <w:pgMar w:top="1440" w:right="1417" w:bottom="1440" w:left="1417" w:header="851" w:footer="992" w:gutter="0"/>
          <w:pgNumType w:start="1"/>
          <w:cols w:space="425" w:num="1"/>
          <w:docGrid w:type="lines" w:linePitch="312" w:charSpace="0"/>
        </w:sectPr>
      </w:pPr>
    </w:p>
    <w:p w14:paraId="69EACD65">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ascii="仿宋" w:hAnsi="仿宋" w:eastAsia="仿宋" w:cs="仿宋"/>
          <w:spacing w:val="25"/>
          <w:w w:val="102"/>
          <w:sz w:val="24"/>
          <w:szCs w:val="24"/>
          <w:highlight w:val="none"/>
        </w:rPr>
      </w:pPr>
      <w:r>
        <w:rPr>
          <w:rFonts w:hint="eastAsia" w:ascii="宋体" w:hAnsi="宋体" w:eastAsia="宋体" w:cs="宋体"/>
          <w:b/>
          <w:bCs/>
          <w:color w:val="auto"/>
          <w:kern w:val="2"/>
          <w:sz w:val="21"/>
          <w:szCs w:val="21"/>
          <w:highlight w:val="none"/>
        </w:rPr>
        <w:t>附件1：建设工程造价咨询服务收费项目和收费标准表</w:t>
      </w:r>
    </w:p>
    <w:tbl>
      <w:tblPr>
        <w:tblStyle w:val="14"/>
        <w:tblW w:w="14578" w:type="dxa"/>
        <w:jc w:val="center"/>
        <w:tblLayout w:type="fixed"/>
        <w:tblCellMar>
          <w:top w:w="0" w:type="dxa"/>
          <w:left w:w="0" w:type="dxa"/>
          <w:bottom w:w="0" w:type="dxa"/>
          <w:right w:w="0" w:type="dxa"/>
        </w:tblCellMar>
      </w:tblPr>
      <w:tblGrid>
        <w:gridCol w:w="570"/>
        <w:gridCol w:w="570"/>
        <w:gridCol w:w="826"/>
        <w:gridCol w:w="720"/>
        <w:gridCol w:w="2331"/>
        <w:gridCol w:w="1433"/>
        <w:gridCol w:w="769"/>
        <w:gridCol w:w="873"/>
        <w:gridCol w:w="942"/>
        <w:gridCol w:w="1033"/>
        <w:gridCol w:w="992"/>
        <w:gridCol w:w="735"/>
        <w:gridCol w:w="700"/>
        <w:gridCol w:w="887"/>
        <w:gridCol w:w="1197"/>
      </w:tblGrid>
      <w:tr w14:paraId="387CF676">
        <w:tblPrEx>
          <w:tblCellMar>
            <w:top w:w="0" w:type="dxa"/>
            <w:left w:w="0" w:type="dxa"/>
            <w:bottom w:w="0" w:type="dxa"/>
            <w:right w:w="0" w:type="dxa"/>
          </w:tblCellMar>
        </w:tblPrEx>
        <w:trPr>
          <w:trHeight w:val="402"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69719">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序号</w:t>
            </w:r>
          </w:p>
        </w:tc>
        <w:tc>
          <w:tcPr>
            <w:tcW w:w="2116"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F7A25">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咨询项目名称</w:t>
            </w:r>
          </w:p>
        </w:tc>
        <w:tc>
          <w:tcPr>
            <w:tcW w:w="23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D8BD2">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服务内容</w:t>
            </w:r>
          </w:p>
        </w:tc>
        <w:tc>
          <w:tcPr>
            <w:tcW w:w="14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9E1D7">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收费基数</w:t>
            </w:r>
          </w:p>
        </w:tc>
        <w:tc>
          <w:tcPr>
            <w:tcW w:w="693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9B3D2">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收费标准</w:t>
            </w:r>
          </w:p>
        </w:tc>
        <w:tc>
          <w:tcPr>
            <w:tcW w:w="11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45A68">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备注</w:t>
            </w:r>
          </w:p>
        </w:tc>
      </w:tr>
      <w:tr w14:paraId="22FADE79">
        <w:tblPrEx>
          <w:tblCellMar>
            <w:top w:w="0" w:type="dxa"/>
            <w:left w:w="0" w:type="dxa"/>
            <w:bottom w:w="0" w:type="dxa"/>
            <w:right w:w="0" w:type="dxa"/>
          </w:tblCellMar>
        </w:tblPrEx>
        <w:trPr>
          <w:trHeight w:val="619"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7ECED">
            <w:pPr>
              <w:jc w:val="center"/>
              <w:rPr>
                <w:rFonts w:hint="eastAsia" w:ascii="宋体" w:hAnsi="宋体"/>
                <w:szCs w:val="21"/>
                <w:highlight w:val="none"/>
              </w:rPr>
            </w:pPr>
          </w:p>
        </w:tc>
        <w:tc>
          <w:tcPr>
            <w:tcW w:w="211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914B2">
            <w:pPr>
              <w:jc w:val="center"/>
              <w:rPr>
                <w:rFonts w:hint="eastAsia" w:ascii="宋体" w:hAnsi="宋体"/>
                <w:szCs w:val="21"/>
                <w:highlight w:val="none"/>
              </w:rPr>
            </w:pPr>
          </w:p>
        </w:tc>
        <w:tc>
          <w:tcPr>
            <w:tcW w:w="23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BA6E9">
            <w:pPr>
              <w:jc w:val="center"/>
              <w:rPr>
                <w:rFonts w:hint="eastAsia" w:ascii="宋体" w:hAnsi="宋体"/>
                <w:szCs w:val="21"/>
                <w:highlight w:val="none"/>
              </w:rPr>
            </w:pPr>
          </w:p>
        </w:tc>
        <w:tc>
          <w:tcPr>
            <w:tcW w:w="14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F25F8">
            <w:pPr>
              <w:jc w:val="center"/>
              <w:rPr>
                <w:rFonts w:hint="eastAsia" w:ascii="宋体" w:hAnsi="宋体"/>
                <w:szCs w:val="21"/>
                <w:highlight w:val="none"/>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04F2B">
            <w:pPr>
              <w:widowControl/>
              <w:jc w:val="center"/>
              <w:textAlignment w:val="center"/>
              <w:rPr>
                <w:rFonts w:hint="eastAsia" w:ascii="宋体" w:hAnsi="宋体" w:eastAsia="宋体"/>
                <w:szCs w:val="21"/>
                <w:highlight w:val="none"/>
                <w:lang w:eastAsia="zh-CN"/>
              </w:rPr>
            </w:pPr>
            <w:r>
              <w:rPr>
                <w:rFonts w:hint="eastAsia" w:ascii="宋体" w:hAnsi="宋体"/>
                <w:kern w:val="0"/>
                <w:szCs w:val="21"/>
                <w:highlight w:val="none"/>
                <w:lang w:bidi="ar"/>
              </w:rPr>
              <w:t>100万元</w:t>
            </w:r>
            <w:r>
              <w:rPr>
                <w:rFonts w:hint="eastAsia" w:ascii="宋体" w:hAnsi="宋体"/>
                <w:kern w:val="0"/>
                <w:szCs w:val="21"/>
                <w:highlight w:val="none"/>
                <w:lang w:eastAsia="zh-CN" w:bidi="ar"/>
              </w:rPr>
              <w:t>（</w:t>
            </w:r>
            <w:r>
              <w:rPr>
                <w:rFonts w:hint="eastAsia" w:ascii="宋体" w:hAnsi="宋体"/>
                <w:kern w:val="0"/>
                <w:szCs w:val="21"/>
                <w:highlight w:val="none"/>
                <w:lang w:val="en-US" w:eastAsia="zh-CN" w:bidi="ar"/>
              </w:rPr>
              <w:t>含</w:t>
            </w:r>
            <w:r>
              <w:rPr>
                <w:rFonts w:hint="eastAsia" w:ascii="宋体" w:hAnsi="宋体"/>
                <w:kern w:val="0"/>
                <w:szCs w:val="21"/>
                <w:highlight w:val="none"/>
                <w:lang w:eastAsia="zh-CN" w:bidi="ar"/>
              </w:rPr>
              <w:t>）</w:t>
            </w:r>
            <w:r>
              <w:rPr>
                <w:rFonts w:hint="eastAsia" w:ascii="宋体" w:hAnsi="宋体"/>
                <w:kern w:val="0"/>
                <w:szCs w:val="21"/>
                <w:highlight w:val="none"/>
                <w:lang w:bidi="ar"/>
              </w:rPr>
              <w:t>以下</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A07AE">
            <w:pPr>
              <w:widowControl/>
              <w:jc w:val="center"/>
              <w:textAlignment w:val="center"/>
              <w:rPr>
                <w:rFonts w:hint="eastAsia" w:ascii="宋体" w:hAnsi="宋体"/>
                <w:szCs w:val="21"/>
                <w:highlight w:val="none"/>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10</w:t>
            </w:r>
            <w:r>
              <w:rPr>
                <w:rFonts w:hint="eastAsia" w:ascii="宋体" w:hAnsi="宋体"/>
                <w:kern w:val="0"/>
                <w:szCs w:val="21"/>
                <w:highlight w:val="none"/>
                <w:lang w:val="en-US" w:eastAsia="zh-CN" w:bidi="ar"/>
              </w:rPr>
              <w:t>0</w:t>
            </w:r>
            <w:r>
              <w:rPr>
                <w:rFonts w:hint="eastAsia" w:ascii="宋体" w:hAnsi="宋体"/>
                <w:kern w:val="0"/>
                <w:szCs w:val="21"/>
                <w:highlight w:val="none"/>
                <w:lang w:bidi="ar"/>
              </w:rPr>
              <w:t>-500</w:t>
            </w:r>
            <w:r>
              <w:rPr>
                <w:rFonts w:hint="eastAsia" w:ascii="宋体" w:hAnsi="宋体"/>
                <w:kern w:val="0"/>
                <w:szCs w:val="21"/>
                <w:highlight w:val="none"/>
                <w:lang w:eastAsia="zh-CN" w:bidi="ar"/>
              </w:rPr>
              <w:t>】</w:t>
            </w:r>
            <w:r>
              <w:rPr>
                <w:rFonts w:hint="eastAsia" w:ascii="宋体" w:hAnsi="宋体"/>
                <w:kern w:val="0"/>
                <w:szCs w:val="21"/>
                <w:highlight w:val="none"/>
                <w:lang w:bidi="ar"/>
              </w:rPr>
              <w:t>万元</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556A1">
            <w:pPr>
              <w:widowControl/>
              <w:jc w:val="center"/>
              <w:textAlignment w:val="center"/>
              <w:rPr>
                <w:rFonts w:hint="eastAsia" w:ascii="宋体" w:hAnsi="宋体"/>
                <w:szCs w:val="21"/>
                <w:highlight w:val="none"/>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50</w:t>
            </w:r>
            <w:r>
              <w:rPr>
                <w:rFonts w:hint="eastAsia" w:ascii="宋体" w:hAnsi="宋体"/>
                <w:kern w:val="0"/>
                <w:szCs w:val="21"/>
                <w:highlight w:val="none"/>
                <w:lang w:val="en-US" w:eastAsia="zh-CN" w:bidi="ar"/>
              </w:rPr>
              <w:t>0</w:t>
            </w:r>
            <w:r>
              <w:rPr>
                <w:rFonts w:hint="eastAsia" w:ascii="宋体" w:hAnsi="宋体"/>
                <w:kern w:val="0"/>
                <w:szCs w:val="21"/>
                <w:highlight w:val="none"/>
                <w:lang w:bidi="ar"/>
              </w:rPr>
              <w:t>-1000</w:t>
            </w:r>
            <w:r>
              <w:rPr>
                <w:rFonts w:hint="eastAsia" w:ascii="宋体" w:hAnsi="宋体"/>
                <w:kern w:val="0"/>
                <w:szCs w:val="21"/>
                <w:highlight w:val="none"/>
                <w:lang w:eastAsia="zh-CN" w:bidi="ar"/>
              </w:rPr>
              <w:t>】</w:t>
            </w:r>
            <w:r>
              <w:rPr>
                <w:rFonts w:hint="eastAsia" w:ascii="宋体" w:hAnsi="宋体"/>
                <w:kern w:val="0"/>
                <w:szCs w:val="21"/>
                <w:highlight w:val="none"/>
                <w:lang w:bidi="ar"/>
              </w:rPr>
              <w:t>万元</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95613">
            <w:pPr>
              <w:widowControl/>
              <w:jc w:val="center"/>
              <w:textAlignment w:val="center"/>
              <w:rPr>
                <w:rFonts w:hint="eastAsia" w:ascii="宋体" w:hAnsi="宋体"/>
                <w:szCs w:val="21"/>
                <w:highlight w:val="none"/>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1000-5000</w:t>
            </w:r>
            <w:r>
              <w:rPr>
                <w:rFonts w:hint="eastAsia" w:ascii="宋体" w:hAnsi="宋体"/>
                <w:kern w:val="0"/>
                <w:szCs w:val="21"/>
                <w:highlight w:val="none"/>
                <w:lang w:eastAsia="zh-CN" w:bidi="ar"/>
              </w:rPr>
              <w:t>】</w:t>
            </w:r>
            <w:r>
              <w:rPr>
                <w:rFonts w:hint="eastAsia" w:ascii="宋体" w:hAnsi="宋体"/>
                <w:kern w:val="0"/>
                <w:szCs w:val="21"/>
                <w:highlight w:val="none"/>
                <w:lang w:bidi="ar"/>
              </w:rPr>
              <w:t>万元</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7ECD8">
            <w:pPr>
              <w:widowControl/>
              <w:jc w:val="center"/>
              <w:textAlignment w:val="center"/>
              <w:rPr>
                <w:rFonts w:hint="eastAsia" w:ascii="宋体" w:hAnsi="宋体" w:eastAsia="宋体"/>
                <w:szCs w:val="21"/>
                <w:highlight w:val="none"/>
                <w:lang w:eastAsia="zh-CN"/>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5000万元-1亿元</w:t>
            </w:r>
            <w:r>
              <w:rPr>
                <w:rFonts w:hint="eastAsia" w:ascii="宋体" w:hAnsi="宋体"/>
                <w:kern w:val="0"/>
                <w:szCs w:val="21"/>
                <w:highlight w:val="none"/>
                <w:lang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6016D">
            <w:pPr>
              <w:widowControl/>
              <w:jc w:val="center"/>
              <w:textAlignment w:val="center"/>
              <w:rPr>
                <w:rFonts w:hint="eastAsia" w:ascii="宋体" w:hAnsi="宋体" w:eastAsia="宋体"/>
                <w:szCs w:val="21"/>
                <w:highlight w:val="none"/>
                <w:lang w:eastAsia="zh-CN"/>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1-5亿元</w:t>
            </w:r>
            <w:r>
              <w:rPr>
                <w:rFonts w:hint="eastAsia" w:ascii="宋体" w:hAnsi="宋体"/>
                <w:kern w:val="0"/>
                <w:szCs w:val="21"/>
                <w:highlight w:val="none"/>
                <w:lang w:eastAsia="zh-CN"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155E3">
            <w:pPr>
              <w:widowControl/>
              <w:jc w:val="center"/>
              <w:textAlignment w:val="center"/>
              <w:rPr>
                <w:rFonts w:hint="eastAsia" w:ascii="宋体" w:hAnsi="宋体" w:eastAsia="宋体"/>
                <w:szCs w:val="21"/>
                <w:highlight w:val="none"/>
                <w:lang w:eastAsia="zh-CN"/>
              </w:rPr>
            </w:pPr>
            <w:r>
              <w:rPr>
                <w:rFonts w:hint="eastAsia" w:ascii="宋体" w:hAnsi="宋体"/>
                <w:kern w:val="0"/>
                <w:szCs w:val="21"/>
                <w:highlight w:val="none"/>
                <w:lang w:val="en-US" w:eastAsia="zh-CN" w:bidi="ar"/>
              </w:rPr>
              <w:t>(</w:t>
            </w:r>
            <w:r>
              <w:rPr>
                <w:rFonts w:hint="eastAsia" w:ascii="宋体" w:hAnsi="宋体"/>
                <w:kern w:val="0"/>
                <w:szCs w:val="21"/>
                <w:highlight w:val="none"/>
                <w:lang w:bidi="ar"/>
              </w:rPr>
              <w:t>5-10亿元</w:t>
            </w:r>
            <w:r>
              <w:rPr>
                <w:rFonts w:hint="eastAsia" w:ascii="宋体" w:hAnsi="宋体"/>
                <w:kern w:val="0"/>
                <w:szCs w:val="21"/>
                <w:highlight w:val="none"/>
                <w:lang w:eastAsia="zh-CN" w:bidi="ar"/>
              </w:rPr>
              <w:t>】</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8D484">
            <w:pPr>
              <w:widowControl/>
              <w:jc w:val="center"/>
              <w:textAlignment w:val="center"/>
              <w:rPr>
                <w:rFonts w:hint="eastAsia" w:ascii="宋体" w:hAnsi="宋体"/>
                <w:szCs w:val="21"/>
                <w:highlight w:val="none"/>
              </w:rPr>
            </w:pPr>
            <w:r>
              <w:rPr>
                <w:rFonts w:hint="eastAsia" w:ascii="宋体" w:hAnsi="宋体"/>
                <w:kern w:val="0"/>
                <w:szCs w:val="21"/>
                <w:highlight w:val="none"/>
                <w:lang w:bidi="ar"/>
              </w:rPr>
              <w:t>10亿元以上</w:t>
            </w:r>
          </w:p>
        </w:tc>
        <w:tc>
          <w:tcPr>
            <w:tcW w:w="11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D776A">
            <w:pPr>
              <w:jc w:val="center"/>
              <w:rPr>
                <w:rFonts w:hint="eastAsia" w:ascii="宋体" w:hAnsi="宋体"/>
                <w:szCs w:val="21"/>
                <w:highlight w:val="none"/>
              </w:rPr>
            </w:pPr>
          </w:p>
        </w:tc>
      </w:tr>
      <w:tr w14:paraId="009ECD01">
        <w:tblPrEx>
          <w:tblCellMar>
            <w:top w:w="0" w:type="dxa"/>
            <w:left w:w="0" w:type="dxa"/>
            <w:bottom w:w="0" w:type="dxa"/>
            <w:right w:w="0" w:type="dxa"/>
          </w:tblCellMar>
        </w:tblPrEx>
        <w:trPr>
          <w:trHeight w:val="1157"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58DF2">
            <w:pPr>
              <w:widowControl/>
              <w:jc w:val="center"/>
              <w:textAlignment w:val="center"/>
              <w:rPr>
                <w:rFonts w:hint="eastAsia" w:ascii="宋体" w:hAnsi="宋体"/>
                <w:szCs w:val="21"/>
                <w:highlight w:val="none"/>
              </w:rPr>
            </w:pPr>
            <w:r>
              <w:rPr>
                <w:rFonts w:hint="eastAsia" w:ascii="宋体" w:hAnsi="宋体"/>
                <w:kern w:val="0"/>
                <w:szCs w:val="21"/>
                <w:highlight w:val="none"/>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3230D">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工程预算的编制或审核</w:t>
            </w:r>
          </w:p>
        </w:tc>
        <w:tc>
          <w:tcPr>
            <w:tcW w:w="8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49505">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清单计价法</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5BED9">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单独编制或审核工程量清单</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78976">
            <w:pPr>
              <w:widowControl/>
              <w:jc w:val="center"/>
              <w:textAlignment w:val="center"/>
              <w:rPr>
                <w:rFonts w:hint="eastAsia" w:ascii="宋体" w:hAnsi="宋体"/>
                <w:szCs w:val="21"/>
                <w:highlight w:val="none"/>
              </w:rPr>
            </w:pPr>
            <w:r>
              <w:rPr>
                <w:rFonts w:hint="eastAsia" w:ascii="宋体" w:hAnsi="宋体"/>
                <w:kern w:val="0"/>
                <w:szCs w:val="21"/>
                <w:highlight w:val="none"/>
                <w:lang w:bidi="ar"/>
              </w:rPr>
              <w:t>依据施工图编制或审核工程量清单，出具工程量清单书或审核报告</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14CC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预算造价（预算价、招标控制价）</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C6BFA">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3</w:t>
            </w:r>
            <w:r>
              <w:rPr>
                <w:rFonts w:hint="eastAsia" w:ascii="宋体" w:hAnsi="宋体"/>
                <w:kern w:val="0"/>
                <w:szCs w:val="21"/>
                <w:highlight w:val="none"/>
                <w:lang w:bidi="ar"/>
              </w:rPr>
              <w:t>‰</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73A4D">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2.5</w:t>
            </w:r>
            <w:r>
              <w:rPr>
                <w:rFonts w:hint="eastAsia" w:ascii="宋体" w:hAnsi="宋体"/>
                <w:kern w:val="0"/>
                <w:szCs w:val="21"/>
                <w:highlight w:val="none"/>
                <w:lang w:bidi="ar"/>
              </w:rPr>
              <w:t>‰</w:t>
            </w:r>
          </w:p>
        </w:tc>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465B4">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2.4</w:t>
            </w:r>
            <w:r>
              <w:rPr>
                <w:rFonts w:hint="eastAsia" w:ascii="宋体" w:hAnsi="宋体"/>
                <w:kern w:val="0"/>
                <w:szCs w:val="21"/>
                <w:highlight w:val="none"/>
                <w:lang w:bidi="ar"/>
              </w:rPr>
              <w:t>‰</w:t>
            </w: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E7A0B">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2.2</w:t>
            </w:r>
            <w:r>
              <w:rPr>
                <w:rFonts w:hint="eastAsia" w:ascii="宋体" w:hAnsi="宋体"/>
                <w:kern w:val="0"/>
                <w:szCs w:val="21"/>
                <w:highlight w:val="none"/>
                <w:lang w:bidi="ar"/>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CAEB2">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w:t>
            </w:r>
            <w:r>
              <w:rPr>
                <w:rFonts w:hint="eastAsia" w:ascii="宋体" w:hAnsi="宋体"/>
                <w:kern w:val="0"/>
                <w:szCs w:val="21"/>
                <w:highlight w:val="none"/>
                <w:lang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6AD12">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1.8</w:t>
            </w:r>
            <w:r>
              <w:rPr>
                <w:rFonts w:hint="eastAsia" w:ascii="宋体" w:hAnsi="宋体"/>
                <w:kern w:val="0"/>
                <w:szCs w:val="21"/>
                <w:highlight w:val="none"/>
                <w:lang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A4D2D">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1.6</w:t>
            </w:r>
            <w:r>
              <w:rPr>
                <w:rFonts w:hint="eastAsia" w:ascii="宋体" w:hAnsi="宋体"/>
                <w:kern w:val="0"/>
                <w:szCs w:val="21"/>
                <w:highlight w:val="none"/>
                <w:lang w:bidi="ar"/>
              </w:rPr>
              <w:t>‰</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F95AF">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1.4</w:t>
            </w:r>
            <w:r>
              <w:rPr>
                <w:rFonts w:hint="eastAsia" w:ascii="宋体" w:hAnsi="宋体"/>
                <w:kern w:val="0"/>
                <w:szCs w:val="21"/>
                <w:highlight w:val="none"/>
                <w:lang w:bidi="ar"/>
              </w:rPr>
              <w:t>‰</w:t>
            </w:r>
          </w:p>
        </w:tc>
        <w:tc>
          <w:tcPr>
            <w:tcW w:w="1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285A">
            <w:pPr>
              <w:widowControl/>
              <w:jc w:val="center"/>
              <w:textAlignment w:val="center"/>
              <w:rPr>
                <w:rFonts w:hint="eastAsia" w:ascii="宋体" w:hAnsi="宋体"/>
                <w:szCs w:val="21"/>
                <w:highlight w:val="none"/>
              </w:rPr>
            </w:pPr>
            <w:r>
              <w:rPr>
                <w:rStyle w:val="32"/>
                <w:color w:val="auto"/>
                <w:sz w:val="21"/>
                <w:szCs w:val="21"/>
                <w:highlight w:val="none"/>
                <w:lang w:bidi="ar"/>
              </w:rPr>
              <w:t>差额定率累进计费</w:t>
            </w:r>
          </w:p>
        </w:tc>
      </w:tr>
      <w:tr w14:paraId="5B680BD1">
        <w:tblPrEx>
          <w:tblCellMar>
            <w:top w:w="0" w:type="dxa"/>
            <w:left w:w="0" w:type="dxa"/>
            <w:bottom w:w="0" w:type="dxa"/>
            <w:right w:w="0" w:type="dxa"/>
          </w:tblCellMar>
        </w:tblPrEx>
        <w:trPr>
          <w:trHeight w:val="1047"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B5DB4">
            <w:pPr>
              <w:jc w:val="center"/>
              <w:rPr>
                <w:rFonts w:hint="eastAsia" w:ascii="宋体" w:hAnsi="宋体"/>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6A108">
            <w:pPr>
              <w:jc w:val="center"/>
              <w:rPr>
                <w:rFonts w:hint="eastAsia" w:ascii="宋体" w:hAnsi="宋体"/>
                <w:szCs w:val="21"/>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C584B">
            <w:pPr>
              <w:jc w:val="center"/>
              <w:rPr>
                <w:rFonts w:hint="eastAsia" w:ascii="宋体" w:hAnsi="宋体"/>
                <w:szCs w:val="21"/>
                <w:highlight w:val="none"/>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40B69">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单独编制或审核预算造价</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6B700">
            <w:pPr>
              <w:widowControl/>
              <w:jc w:val="center"/>
              <w:textAlignment w:val="center"/>
              <w:rPr>
                <w:rFonts w:hint="eastAsia" w:ascii="宋体" w:hAnsi="宋体"/>
                <w:szCs w:val="21"/>
                <w:highlight w:val="none"/>
              </w:rPr>
            </w:pPr>
            <w:r>
              <w:rPr>
                <w:rFonts w:hint="eastAsia" w:ascii="宋体" w:hAnsi="宋体"/>
                <w:kern w:val="0"/>
                <w:szCs w:val="21"/>
                <w:highlight w:val="none"/>
                <w:lang w:bidi="ar"/>
              </w:rPr>
              <w:t>依据施工图、工程量清单编制或审核工量清单报价出具工程报价书或审核报告</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75E95">
            <w:pPr>
              <w:widowControl/>
              <w:jc w:val="center"/>
              <w:textAlignment w:val="center"/>
              <w:rPr>
                <w:rFonts w:hint="eastAsia" w:ascii="宋体" w:hAnsi="宋体"/>
                <w:szCs w:val="21"/>
                <w:highlight w:val="none"/>
              </w:rPr>
            </w:pPr>
            <w:r>
              <w:rPr>
                <w:rFonts w:hint="eastAsia" w:ascii="宋体" w:hAnsi="宋体"/>
                <w:kern w:val="0"/>
                <w:szCs w:val="21"/>
                <w:highlight w:val="none"/>
                <w:lang w:bidi="ar"/>
              </w:rPr>
              <w:t>预算造价（预算价、招标控制价、投标报价）</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43CF6">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1.8</w:t>
            </w:r>
            <w:r>
              <w:rPr>
                <w:rFonts w:hint="eastAsia" w:ascii="宋体" w:hAnsi="宋体"/>
                <w:kern w:val="0"/>
                <w:szCs w:val="21"/>
                <w:highlight w:val="none"/>
                <w:lang w:bidi="ar"/>
              </w:rPr>
              <w:t>‰</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3AA78">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1.6</w:t>
            </w:r>
            <w:r>
              <w:rPr>
                <w:rFonts w:hint="eastAsia" w:ascii="宋体" w:hAnsi="宋体"/>
                <w:kern w:val="0"/>
                <w:szCs w:val="21"/>
                <w:highlight w:val="none"/>
                <w:lang w:bidi="ar"/>
              </w:rPr>
              <w:t>‰</w:t>
            </w:r>
          </w:p>
        </w:tc>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F963D">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1.4</w:t>
            </w:r>
            <w:r>
              <w:rPr>
                <w:rFonts w:hint="eastAsia" w:ascii="宋体" w:hAnsi="宋体"/>
                <w:kern w:val="0"/>
                <w:szCs w:val="21"/>
                <w:highlight w:val="none"/>
                <w:lang w:bidi="ar"/>
              </w:rPr>
              <w:t>‰</w:t>
            </w: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35112">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1.2</w:t>
            </w:r>
            <w:r>
              <w:rPr>
                <w:rFonts w:hint="eastAsia" w:ascii="宋体" w:hAnsi="宋体"/>
                <w:kern w:val="0"/>
                <w:szCs w:val="21"/>
                <w:highlight w:val="none"/>
                <w:lang w:bidi="ar"/>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9C7C7">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0.9</w:t>
            </w:r>
            <w:r>
              <w:rPr>
                <w:rFonts w:hint="eastAsia" w:ascii="宋体" w:hAnsi="宋体"/>
                <w:kern w:val="0"/>
                <w:szCs w:val="21"/>
                <w:highlight w:val="none"/>
                <w:lang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1E586">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0.7</w:t>
            </w:r>
            <w:r>
              <w:rPr>
                <w:rFonts w:hint="eastAsia" w:ascii="宋体" w:hAnsi="宋体"/>
                <w:kern w:val="0"/>
                <w:szCs w:val="21"/>
                <w:highlight w:val="none"/>
                <w:lang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F236B">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0.6</w:t>
            </w:r>
            <w:r>
              <w:rPr>
                <w:rFonts w:hint="eastAsia" w:ascii="宋体" w:hAnsi="宋体"/>
                <w:kern w:val="0"/>
                <w:szCs w:val="21"/>
                <w:highlight w:val="none"/>
                <w:lang w:bidi="ar"/>
              </w:rPr>
              <w:t>‰</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E7C43">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0.4</w:t>
            </w:r>
            <w:r>
              <w:rPr>
                <w:rFonts w:hint="eastAsia" w:ascii="宋体" w:hAnsi="宋体"/>
                <w:kern w:val="0"/>
                <w:szCs w:val="21"/>
                <w:highlight w:val="none"/>
                <w:lang w:bidi="ar"/>
              </w:rPr>
              <w:t>‰</w:t>
            </w:r>
          </w:p>
        </w:tc>
        <w:tc>
          <w:tcPr>
            <w:tcW w:w="1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1FF9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差额定率累进计费</w:t>
            </w:r>
          </w:p>
        </w:tc>
      </w:tr>
      <w:tr w14:paraId="74D65185">
        <w:tblPrEx>
          <w:tblCellMar>
            <w:top w:w="0" w:type="dxa"/>
            <w:left w:w="0" w:type="dxa"/>
            <w:bottom w:w="0" w:type="dxa"/>
            <w:right w:w="0" w:type="dxa"/>
          </w:tblCellMar>
        </w:tblPrEx>
        <w:trPr>
          <w:trHeight w:val="1085"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A2C57">
            <w:pPr>
              <w:jc w:val="center"/>
              <w:rPr>
                <w:rFonts w:hint="eastAsia" w:ascii="宋体" w:hAnsi="宋体"/>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3D029">
            <w:pPr>
              <w:jc w:val="center"/>
              <w:rPr>
                <w:rFonts w:hint="eastAsia" w:ascii="宋体" w:hAnsi="宋体"/>
                <w:szCs w:val="21"/>
                <w:highlight w:val="none"/>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58477">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定额计价法</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7C5B0">
            <w:pPr>
              <w:widowControl/>
              <w:jc w:val="center"/>
              <w:textAlignment w:val="center"/>
              <w:rPr>
                <w:rFonts w:hint="eastAsia" w:ascii="宋体" w:hAnsi="宋体"/>
                <w:szCs w:val="21"/>
                <w:highlight w:val="none"/>
              </w:rPr>
            </w:pPr>
            <w:r>
              <w:rPr>
                <w:rFonts w:hint="eastAsia" w:ascii="宋体" w:hAnsi="宋体"/>
                <w:kern w:val="0"/>
                <w:szCs w:val="21"/>
                <w:highlight w:val="none"/>
                <w:lang w:bidi="ar"/>
              </w:rPr>
              <w:t>编制</w:t>
            </w:r>
            <w:r>
              <w:rPr>
                <w:rFonts w:hint="eastAsia" w:ascii="宋体" w:hAnsi="宋体"/>
                <w:kern w:val="0"/>
                <w:szCs w:val="21"/>
                <w:highlight w:val="none"/>
                <w:lang w:val="en-US" w:eastAsia="zh-CN" w:bidi="ar"/>
              </w:rPr>
              <w:t>或</w:t>
            </w:r>
            <w:r>
              <w:rPr>
                <w:rFonts w:hint="eastAsia" w:ascii="宋体" w:hAnsi="宋体"/>
                <w:kern w:val="0"/>
                <w:szCs w:val="21"/>
                <w:highlight w:val="none"/>
                <w:lang w:bidi="ar"/>
              </w:rPr>
              <w:t>审核预算造价</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7BF89">
            <w:pPr>
              <w:widowControl/>
              <w:jc w:val="center"/>
              <w:textAlignment w:val="center"/>
              <w:rPr>
                <w:rFonts w:hint="eastAsia" w:ascii="宋体" w:hAnsi="宋体"/>
                <w:szCs w:val="21"/>
                <w:highlight w:val="none"/>
              </w:rPr>
            </w:pPr>
            <w:r>
              <w:rPr>
                <w:rFonts w:hint="eastAsia" w:ascii="宋体" w:hAnsi="宋体"/>
                <w:kern w:val="0"/>
                <w:szCs w:val="21"/>
                <w:highlight w:val="none"/>
                <w:lang w:bidi="ar"/>
              </w:rPr>
              <w:t>依据施工图编制或审核工程预算，出具工程预算书或审核报告</w:t>
            </w: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BD95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预算造价（预算价、招标控制价、投标报价）</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EA285">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3.5</w:t>
            </w:r>
            <w:r>
              <w:rPr>
                <w:rFonts w:hint="eastAsia" w:ascii="宋体" w:hAnsi="宋体"/>
                <w:kern w:val="0"/>
                <w:szCs w:val="21"/>
                <w:highlight w:val="none"/>
                <w:lang w:bidi="ar"/>
              </w:rPr>
              <w:t>‰</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DAB12">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3</w:t>
            </w:r>
            <w:r>
              <w:rPr>
                <w:rFonts w:hint="eastAsia" w:ascii="宋体" w:hAnsi="宋体"/>
                <w:kern w:val="0"/>
                <w:szCs w:val="21"/>
                <w:highlight w:val="none"/>
                <w:lang w:bidi="ar"/>
              </w:rPr>
              <w:t>‰</w:t>
            </w:r>
          </w:p>
        </w:tc>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8BAD0">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2.8</w:t>
            </w:r>
            <w:r>
              <w:rPr>
                <w:rFonts w:hint="eastAsia" w:ascii="宋体" w:hAnsi="宋体"/>
                <w:kern w:val="0"/>
                <w:szCs w:val="21"/>
                <w:highlight w:val="none"/>
                <w:lang w:bidi="ar"/>
              </w:rPr>
              <w:t>‰</w:t>
            </w: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39F46">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2.7</w:t>
            </w:r>
            <w:r>
              <w:rPr>
                <w:rFonts w:hint="eastAsia" w:ascii="宋体" w:hAnsi="宋体"/>
                <w:kern w:val="0"/>
                <w:szCs w:val="21"/>
                <w:highlight w:val="none"/>
                <w:lang w:bidi="ar"/>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1EE83">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2.4</w:t>
            </w:r>
            <w:r>
              <w:rPr>
                <w:rFonts w:hint="eastAsia" w:ascii="宋体" w:hAnsi="宋体"/>
                <w:kern w:val="0"/>
                <w:szCs w:val="21"/>
                <w:highlight w:val="none"/>
                <w:lang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7E645">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w:t>
            </w:r>
            <w:r>
              <w:rPr>
                <w:rFonts w:hint="eastAsia" w:ascii="宋体" w:hAnsi="宋体"/>
                <w:kern w:val="0"/>
                <w:szCs w:val="21"/>
                <w:highlight w:val="none"/>
                <w:lang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98DE7">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1.6</w:t>
            </w:r>
            <w:r>
              <w:rPr>
                <w:rFonts w:hint="eastAsia" w:ascii="宋体" w:hAnsi="宋体"/>
                <w:kern w:val="0"/>
                <w:szCs w:val="21"/>
                <w:highlight w:val="none"/>
                <w:lang w:bidi="ar"/>
              </w:rPr>
              <w:t>‰</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5B088">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1.2</w:t>
            </w:r>
            <w:r>
              <w:rPr>
                <w:rFonts w:hint="eastAsia" w:ascii="宋体" w:hAnsi="宋体"/>
                <w:kern w:val="0"/>
                <w:szCs w:val="21"/>
                <w:highlight w:val="none"/>
                <w:lang w:bidi="ar"/>
              </w:rPr>
              <w:t>‰</w:t>
            </w:r>
          </w:p>
        </w:tc>
        <w:tc>
          <w:tcPr>
            <w:tcW w:w="1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23489">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差额定率累进计费</w:t>
            </w:r>
          </w:p>
        </w:tc>
      </w:tr>
      <w:tr w14:paraId="1C19F3EF">
        <w:tblPrEx>
          <w:tblCellMar>
            <w:top w:w="0" w:type="dxa"/>
            <w:left w:w="0" w:type="dxa"/>
            <w:bottom w:w="0" w:type="dxa"/>
            <w:right w:w="0" w:type="dxa"/>
          </w:tblCellMar>
        </w:tblPrEx>
        <w:trPr>
          <w:trHeight w:val="1219"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24EC8">
            <w:pPr>
              <w:widowControl/>
              <w:jc w:val="center"/>
              <w:textAlignment w:val="center"/>
              <w:rPr>
                <w:rFonts w:hint="eastAsia" w:ascii="宋体" w:hAnsi="宋体"/>
                <w:szCs w:val="21"/>
                <w:highlight w:val="none"/>
              </w:rPr>
            </w:pPr>
            <w:r>
              <w:rPr>
                <w:rFonts w:hint="eastAsia" w:ascii="宋体" w:hAnsi="宋体"/>
                <w:kern w:val="0"/>
                <w:szCs w:val="21"/>
                <w:highlight w:val="none"/>
                <w:lang w:bidi="ar"/>
              </w:rPr>
              <w:t>2</w:t>
            </w:r>
          </w:p>
        </w:tc>
        <w:tc>
          <w:tcPr>
            <w:tcW w:w="21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5250D">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工程概算的编制或审核</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B27C2">
            <w:pPr>
              <w:widowControl/>
              <w:jc w:val="center"/>
              <w:textAlignment w:val="center"/>
              <w:rPr>
                <w:rFonts w:hint="eastAsia" w:ascii="宋体" w:hAnsi="宋体"/>
                <w:szCs w:val="21"/>
                <w:highlight w:val="none"/>
              </w:rPr>
            </w:pPr>
            <w:r>
              <w:rPr>
                <w:rFonts w:hint="eastAsia" w:ascii="宋体" w:hAnsi="宋体"/>
                <w:szCs w:val="21"/>
                <w:highlight w:val="none"/>
              </w:rPr>
              <w:t>依据新初步设计图纸计算或复合工程量出具工程概算书或审核报告</w:t>
            </w:r>
          </w:p>
        </w:tc>
        <w:tc>
          <w:tcPr>
            <w:tcW w:w="1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1149E">
            <w:pPr>
              <w:widowControl/>
              <w:jc w:val="center"/>
              <w:textAlignment w:val="center"/>
              <w:rPr>
                <w:rFonts w:hint="eastAsia" w:ascii="宋体" w:hAnsi="宋体"/>
                <w:szCs w:val="21"/>
                <w:highlight w:val="none"/>
              </w:rPr>
            </w:pPr>
            <w:r>
              <w:rPr>
                <w:rFonts w:hint="eastAsia" w:ascii="宋体" w:hAnsi="宋体"/>
                <w:szCs w:val="21"/>
                <w:highlight w:val="none"/>
              </w:rPr>
              <w:t>概算价</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0D4C1">
            <w:pPr>
              <w:widowControl/>
              <w:jc w:val="center"/>
              <w:textAlignment w:val="center"/>
              <w:rPr>
                <w:rFonts w:hint="eastAsia" w:ascii="宋体" w:hAnsi="宋体"/>
                <w:szCs w:val="21"/>
                <w:highlight w:val="none"/>
              </w:rPr>
            </w:pPr>
            <w:r>
              <w:rPr>
                <w:rStyle w:val="32"/>
                <w:rFonts w:hint="default"/>
                <w:color w:val="auto"/>
                <w:sz w:val="21"/>
                <w:szCs w:val="21"/>
                <w:highlight w:val="none"/>
                <w:lang w:bidi="ar"/>
              </w:rPr>
              <w:t>2</w:t>
            </w:r>
            <w:r>
              <w:rPr>
                <w:rFonts w:hint="eastAsia" w:ascii="宋体" w:hAnsi="宋体"/>
                <w:kern w:val="0"/>
                <w:szCs w:val="21"/>
                <w:highlight w:val="none"/>
                <w:lang w:bidi="ar"/>
              </w:rPr>
              <w:t>‰</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EC469">
            <w:pPr>
              <w:widowControl/>
              <w:jc w:val="center"/>
              <w:textAlignment w:val="center"/>
              <w:rPr>
                <w:rFonts w:hint="eastAsia" w:ascii="宋体" w:hAnsi="宋体"/>
                <w:szCs w:val="21"/>
                <w:highlight w:val="none"/>
              </w:rPr>
            </w:pPr>
            <w:r>
              <w:rPr>
                <w:rStyle w:val="32"/>
                <w:color w:val="auto"/>
                <w:sz w:val="21"/>
                <w:szCs w:val="21"/>
                <w:highlight w:val="none"/>
                <w:lang w:bidi="ar"/>
              </w:rPr>
              <w:t>1.8</w:t>
            </w:r>
            <w:r>
              <w:rPr>
                <w:rFonts w:hint="eastAsia" w:ascii="宋体" w:hAnsi="宋体"/>
                <w:kern w:val="0"/>
                <w:szCs w:val="21"/>
                <w:highlight w:val="none"/>
                <w:lang w:bidi="ar"/>
              </w:rPr>
              <w:t>‰</w:t>
            </w:r>
          </w:p>
        </w:tc>
        <w:tc>
          <w:tcPr>
            <w:tcW w:w="9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1B0E2">
            <w:pPr>
              <w:widowControl/>
              <w:jc w:val="center"/>
              <w:textAlignment w:val="center"/>
              <w:rPr>
                <w:rFonts w:hint="eastAsia" w:ascii="宋体" w:hAnsi="宋体"/>
                <w:szCs w:val="21"/>
                <w:highlight w:val="none"/>
              </w:rPr>
            </w:pPr>
            <w:r>
              <w:rPr>
                <w:rStyle w:val="32"/>
                <w:color w:val="auto"/>
                <w:sz w:val="21"/>
                <w:szCs w:val="21"/>
                <w:highlight w:val="none"/>
                <w:lang w:bidi="ar"/>
              </w:rPr>
              <w:t>1.6</w:t>
            </w:r>
            <w:r>
              <w:rPr>
                <w:rFonts w:hint="eastAsia" w:ascii="宋体" w:hAnsi="宋体"/>
                <w:kern w:val="0"/>
                <w:szCs w:val="21"/>
                <w:highlight w:val="none"/>
                <w:lang w:bidi="ar"/>
              </w:rPr>
              <w:t>‰</w:t>
            </w:r>
          </w:p>
        </w:tc>
        <w:tc>
          <w:tcPr>
            <w:tcW w:w="1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BA58A">
            <w:pPr>
              <w:widowControl/>
              <w:jc w:val="center"/>
              <w:textAlignment w:val="center"/>
              <w:rPr>
                <w:rFonts w:hint="eastAsia" w:ascii="宋体" w:hAnsi="宋体"/>
                <w:szCs w:val="21"/>
                <w:highlight w:val="none"/>
              </w:rPr>
            </w:pPr>
            <w:r>
              <w:rPr>
                <w:rStyle w:val="32"/>
                <w:color w:val="auto"/>
                <w:sz w:val="21"/>
                <w:szCs w:val="21"/>
                <w:highlight w:val="none"/>
                <w:lang w:bidi="ar"/>
              </w:rPr>
              <w:t>1.3</w:t>
            </w:r>
            <w:r>
              <w:rPr>
                <w:rFonts w:hint="eastAsia" w:ascii="宋体" w:hAnsi="宋体"/>
                <w:kern w:val="0"/>
                <w:szCs w:val="21"/>
                <w:highlight w:val="none"/>
                <w:lang w:bidi="ar"/>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A9E5C">
            <w:pPr>
              <w:widowControl/>
              <w:jc w:val="center"/>
              <w:textAlignment w:val="center"/>
              <w:rPr>
                <w:rFonts w:hint="eastAsia" w:ascii="宋体" w:hAnsi="宋体"/>
                <w:szCs w:val="21"/>
                <w:highlight w:val="none"/>
              </w:rPr>
            </w:pPr>
            <w:r>
              <w:rPr>
                <w:rStyle w:val="32"/>
                <w:color w:val="auto"/>
                <w:sz w:val="21"/>
                <w:szCs w:val="21"/>
                <w:highlight w:val="none"/>
                <w:lang w:bidi="ar"/>
              </w:rPr>
              <w:t>1.2</w:t>
            </w:r>
            <w:r>
              <w:rPr>
                <w:rFonts w:hint="eastAsia" w:ascii="宋体" w:hAnsi="宋体"/>
                <w:kern w:val="0"/>
                <w:szCs w:val="21"/>
                <w:highlight w:val="none"/>
                <w:lang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A1998">
            <w:pPr>
              <w:widowControl/>
              <w:jc w:val="center"/>
              <w:textAlignment w:val="center"/>
              <w:rPr>
                <w:rFonts w:hint="eastAsia" w:ascii="宋体" w:hAnsi="宋体"/>
                <w:szCs w:val="21"/>
                <w:highlight w:val="none"/>
              </w:rPr>
            </w:pPr>
            <w:r>
              <w:rPr>
                <w:rStyle w:val="32"/>
                <w:color w:val="auto"/>
                <w:sz w:val="21"/>
                <w:szCs w:val="21"/>
                <w:highlight w:val="none"/>
                <w:lang w:bidi="ar"/>
              </w:rPr>
              <w:t>1.1</w:t>
            </w:r>
            <w:r>
              <w:rPr>
                <w:rFonts w:hint="eastAsia" w:ascii="宋体" w:hAnsi="宋体"/>
                <w:kern w:val="0"/>
                <w:szCs w:val="21"/>
                <w:highlight w:val="none"/>
                <w:lang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4C4E5">
            <w:pPr>
              <w:widowControl/>
              <w:jc w:val="center"/>
              <w:textAlignment w:val="center"/>
              <w:rPr>
                <w:rFonts w:hint="eastAsia" w:ascii="宋体" w:hAnsi="宋体"/>
                <w:szCs w:val="21"/>
                <w:highlight w:val="none"/>
              </w:rPr>
            </w:pPr>
            <w:r>
              <w:rPr>
                <w:rStyle w:val="32"/>
                <w:color w:val="auto"/>
                <w:sz w:val="21"/>
                <w:szCs w:val="21"/>
                <w:highlight w:val="none"/>
                <w:lang w:bidi="ar"/>
              </w:rPr>
              <w:t xml:space="preserve">1 </w:t>
            </w:r>
            <w:r>
              <w:rPr>
                <w:rFonts w:hint="eastAsia" w:ascii="宋体" w:hAnsi="宋体"/>
                <w:kern w:val="0"/>
                <w:szCs w:val="21"/>
                <w:highlight w:val="none"/>
                <w:lang w:bidi="ar"/>
              </w:rPr>
              <w:t>‰</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25598">
            <w:pPr>
              <w:widowControl/>
              <w:jc w:val="center"/>
              <w:textAlignment w:val="center"/>
              <w:rPr>
                <w:rFonts w:hint="eastAsia" w:ascii="宋体" w:hAnsi="宋体"/>
                <w:szCs w:val="21"/>
                <w:highlight w:val="none"/>
              </w:rPr>
            </w:pPr>
            <w:r>
              <w:rPr>
                <w:rStyle w:val="32"/>
                <w:color w:val="auto"/>
                <w:sz w:val="21"/>
                <w:szCs w:val="21"/>
                <w:highlight w:val="none"/>
                <w:lang w:bidi="ar"/>
              </w:rPr>
              <w:t xml:space="preserve"> 0.8</w:t>
            </w:r>
            <w:r>
              <w:rPr>
                <w:rFonts w:hint="eastAsia" w:ascii="宋体" w:hAnsi="宋体"/>
                <w:kern w:val="0"/>
                <w:szCs w:val="21"/>
                <w:highlight w:val="none"/>
                <w:lang w:bidi="ar"/>
              </w:rPr>
              <w:t>‰</w:t>
            </w:r>
          </w:p>
        </w:tc>
        <w:tc>
          <w:tcPr>
            <w:tcW w:w="1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A57E1">
            <w:pPr>
              <w:widowControl/>
              <w:jc w:val="center"/>
              <w:textAlignment w:val="center"/>
              <w:rPr>
                <w:rFonts w:hint="eastAsia" w:ascii="宋体" w:hAnsi="宋体"/>
                <w:szCs w:val="21"/>
                <w:highlight w:val="none"/>
              </w:rPr>
            </w:pPr>
            <w:r>
              <w:rPr>
                <w:rFonts w:hint="eastAsia" w:ascii="宋体" w:hAnsi="宋体"/>
                <w:szCs w:val="21"/>
                <w:highlight w:val="none"/>
              </w:rPr>
              <w:t>差额定率累进计费</w:t>
            </w:r>
          </w:p>
        </w:tc>
      </w:tr>
    </w:tbl>
    <w:p w14:paraId="2AAFDD36">
      <w:pPr>
        <w:widowControl/>
        <w:textAlignment w:val="center"/>
        <w:rPr>
          <w:rFonts w:hint="eastAsia" w:ascii="宋体" w:hAnsi="宋体"/>
          <w:kern w:val="0"/>
          <w:szCs w:val="21"/>
          <w:highlight w:val="none"/>
          <w:lang w:bidi="ar"/>
        </w:rPr>
      </w:pPr>
    </w:p>
    <w:p w14:paraId="37C6273D">
      <w:pPr>
        <w:widowControl/>
        <w:textAlignment w:val="center"/>
        <w:rPr>
          <w:rFonts w:hint="eastAsia" w:ascii="宋体" w:hAnsi="宋体"/>
          <w:kern w:val="0"/>
          <w:szCs w:val="21"/>
          <w:highlight w:val="none"/>
        </w:rPr>
      </w:pPr>
      <w:r>
        <w:rPr>
          <w:rFonts w:hint="eastAsia" w:ascii="宋体" w:hAnsi="宋体"/>
          <w:kern w:val="0"/>
          <w:szCs w:val="21"/>
          <w:highlight w:val="none"/>
        </w:rPr>
        <w:t>说明：①按以上收费标准为计费基准价，招标时按上述标准乘以80%作为最高限价。②概算预算造价咨询费不足1500元的按1500元收取。</w:t>
      </w:r>
    </w:p>
    <w:p w14:paraId="170BCD7B">
      <w:pPr>
        <w:widowControl/>
        <w:textAlignment w:val="center"/>
        <w:rPr>
          <w:rFonts w:hint="default" w:ascii="宋体" w:hAnsi="宋体" w:eastAsia="宋体"/>
          <w:kern w:val="0"/>
          <w:szCs w:val="21"/>
          <w:highlight w:val="none"/>
          <w:lang w:val="en-US" w:eastAsia="zh-CN"/>
        </w:rPr>
      </w:pPr>
      <w:r>
        <w:rPr>
          <w:rFonts w:hint="eastAsia" w:ascii="宋体" w:hAnsi="宋体" w:eastAsia="宋体" w:cs="宋体"/>
          <w:kern w:val="0"/>
          <w:szCs w:val="21"/>
          <w:highlight w:val="none"/>
        </w:rPr>
        <w:t>③</w:t>
      </w:r>
      <w:r>
        <w:rPr>
          <w:rFonts w:hint="eastAsia" w:ascii="宋体" w:hAnsi="宋体" w:cs="宋体"/>
          <w:kern w:val="0"/>
          <w:szCs w:val="21"/>
          <w:highlight w:val="none"/>
          <w:lang w:val="en-US" w:eastAsia="zh-CN"/>
        </w:rPr>
        <w:t>上表表示区间的符号中</w:t>
      </w:r>
      <w:r>
        <w:rPr>
          <w:rFonts w:hint="eastAsia" w:ascii="宋体" w:hAnsi="宋体" w:eastAsia="宋体" w:cs="宋体"/>
          <w:sz w:val="24"/>
          <w:szCs w:val="24"/>
          <w:highlight w:val="none"/>
          <w:lang w:eastAsia="zh-CN"/>
        </w:rPr>
        <w:t>“【”“】”表示包含本数，“（”“）”表示不包含本数</w:t>
      </w:r>
      <w:r>
        <w:rPr>
          <w:rFonts w:hint="eastAsia" w:ascii="宋体" w:hAnsi="宋体" w:cs="宋体"/>
          <w:sz w:val="24"/>
          <w:szCs w:val="24"/>
          <w:highlight w:val="none"/>
          <w:lang w:eastAsia="zh-CN"/>
        </w:rPr>
        <w:t>。</w:t>
      </w:r>
    </w:p>
    <w:p w14:paraId="47DC1D59">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kern w:val="2"/>
          <w:sz w:val="21"/>
          <w:szCs w:val="21"/>
          <w:highlight w:val="none"/>
        </w:rPr>
        <w:t>附件2：项目竣工财务决算服务收费标准表</w:t>
      </w:r>
    </w:p>
    <w:tbl>
      <w:tblPr>
        <w:tblStyle w:val="14"/>
        <w:tblW w:w="14634" w:type="dxa"/>
        <w:jc w:val="center"/>
        <w:tblLayout w:type="fixed"/>
        <w:tblCellMar>
          <w:top w:w="0" w:type="dxa"/>
          <w:left w:w="0" w:type="dxa"/>
          <w:bottom w:w="0" w:type="dxa"/>
          <w:right w:w="0" w:type="dxa"/>
        </w:tblCellMar>
      </w:tblPr>
      <w:tblGrid>
        <w:gridCol w:w="689"/>
        <w:gridCol w:w="1213"/>
        <w:gridCol w:w="2059"/>
        <w:gridCol w:w="1350"/>
        <w:gridCol w:w="956"/>
        <w:gridCol w:w="956"/>
        <w:gridCol w:w="956"/>
        <w:gridCol w:w="956"/>
        <w:gridCol w:w="956"/>
        <w:gridCol w:w="956"/>
        <w:gridCol w:w="956"/>
        <w:gridCol w:w="956"/>
        <w:gridCol w:w="956"/>
        <w:gridCol w:w="719"/>
      </w:tblGrid>
      <w:tr w14:paraId="1A16A0DD">
        <w:tblPrEx>
          <w:tblCellMar>
            <w:top w:w="0" w:type="dxa"/>
            <w:left w:w="0" w:type="dxa"/>
            <w:bottom w:w="0" w:type="dxa"/>
            <w:right w:w="0" w:type="dxa"/>
          </w:tblCellMar>
        </w:tblPrEx>
        <w:trPr>
          <w:trHeight w:val="522" w:hRule="atLeast"/>
          <w:jc w:val="center"/>
        </w:trPr>
        <w:tc>
          <w:tcPr>
            <w:tcW w:w="6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EBAB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序号</w:t>
            </w:r>
          </w:p>
        </w:tc>
        <w:tc>
          <w:tcPr>
            <w:tcW w:w="12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EFBF0">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咨询项目名称</w:t>
            </w:r>
          </w:p>
        </w:tc>
        <w:tc>
          <w:tcPr>
            <w:tcW w:w="20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41C21">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服务内容</w:t>
            </w:r>
          </w:p>
        </w:tc>
        <w:tc>
          <w:tcPr>
            <w:tcW w:w="13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7CDB8">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收费基数</w:t>
            </w:r>
          </w:p>
        </w:tc>
        <w:tc>
          <w:tcPr>
            <w:tcW w:w="860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BDA5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最高收费标准</w:t>
            </w:r>
          </w:p>
        </w:tc>
        <w:tc>
          <w:tcPr>
            <w:tcW w:w="7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52FC5">
            <w:pPr>
              <w:widowControl/>
              <w:jc w:val="center"/>
              <w:textAlignment w:val="center"/>
              <w:rPr>
                <w:rFonts w:hint="eastAsia" w:ascii="宋体" w:hAnsi="宋体"/>
                <w:szCs w:val="21"/>
                <w:highlight w:val="none"/>
              </w:rPr>
            </w:pPr>
            <w:r>
              <w:rPr>
                <w:rFonts w:hint="eastAsia" w:ascii="宋体" w:hAnsi="宋体"/>
                <w:kern w:val="0"/>
                <w:szCs w:val="21"/>
                <w:highlight w:val="none"/>
                <w:lang w:bidi="ar"/>
              </w:rPr>
              <w:t>备注</w:t>
            </w:r>
          </w:p>
        </w:tc>
      </w:tr>
      <w:tr w14:paraId="1581F50D">
        <w:tblPrEx>
          <w:tblCellMar>
            <w:top w:w="0" w:type="dxa"/>
            <w:left w:w="0" w:type="dxa"/>
            <w:bottom w:w="0" w:type="dxa"/>
            <w:right w:w="0" w:type="dxa"/>
          </w:tblCellMar>
        </w:tblPrEx>
        <w:trPr>
          <w:trHeight w:val="1422"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60158">
            <w:pPr>
              <w:jc w:val="center"/>
              <w:rPr>
                <w:rFonts w:hint="eastAsia" w:ascii="宋体" w:hAnsi="宋体"/>
                <w:szCs w:val="21"/>
                <w:highlight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E7C9C">
            <w:pPr>
              <w:jc w:val="center"/>
              <w:rPr>
                <w:rFonts w:hint="eastAsia" w:ascii="宋体" w:hAnsi="宋体"/>
                <w:szCs w:val="21"/>
                <w:highlight w:val="none"/>
              </w:rPr>
            </w:pPr>
          </w:p>
        </w:tc>
        <w:tc>
          <w:tcPr>
            <w:tcW w:w="20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F5F62">
            <w:pPr>
              <w:jc w:val="center"/>
              <w:rPr>
                <w:rFonts w:hint="eastAsia" w:ascii="宋体" w:hAnsi="宋体"/>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B3653">
            <w:pPr>
              <w:jc w:val="center"/>
              <w:rPr>
                <w:rFonts w:hint="eastAsia" w:ascii="宋体" w:hAnsi="宋体"/>
                <w:szCs w:val="21"/>
                <w:highlight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FF494">
            <w:pPr>
              <w:widowControl/>
              <w:jc w:val="center"/>
              <w:textAlignment w:val="center"/>
              <w:rPr>
                <w:rFonts w:hint="eastAsia" w:ascii="宋体" w:hAnsi="宋体"/>
                <w:szCs w:val="21"/>
                <w:highlight w:val="none"/>
              </w:rPr>
            </w:pPr>
            <w:r>
              <w:rPr>
                <w:rFonts w:hint="eastAsia" w:ascii="宋体" w:hAnsi="宋体"/>
                <w:kern w:val="0"/>
                <w:szCs w:val="21"/>
                <w:highlight w:val="none"/>
                <w:lang w:bidi="ar"/>
              </w:rPr>
              <w:t>50万元（含）以下的项目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6B738">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50-500万元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FB6EF">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500-1000万元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9D5A1">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1000-5000万元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53D0F">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5000万元-1亿元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42B6F">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1-2亿元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32A00">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2-10亿元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F1252">
            <w:pPr>
              <w:widowControl/>
              <w:jc w:val="center"/>
              <w:textAlignment w:val="center"/>
              <w:rPr>
                <w:rFonts w:hint="eastAsia" w:ascii="宋体" w:hAnsi="宋体"/>
                <w:szCs w:val="21"/>
                <w:highlight w:val="none"/>
              </w:rPr>
            </w:pPr>
            <w:r>
              <w:rPr>
                <w:rFonts w:hint="eastAsia" w:ascii="宋体" w:hAnsi="宋体"/>
                <w:kern w:val="0"/>
                <w:szCs w:val="21"/>
                <w:highlight w:val="none"/>
                <w:lang w:eastAsia="zh-CN" w:bidi="ar"/>
              </w:rPr>
              <w:t>（</w:t>
            </w:r>
            <w:r>
              <w:rPr>
                <w:rFonts w:hint="eastAsia" w:ascii="宋体" w:hAnsi="宋体"/>
                <w:kern w:val="0"/>
                <w:szCs w:val="21"/>
                <w:highlight w:val="none"/>
                <w:lang w:bidi="ar"/>
              </w:rPr>
              <w:t>10-50亿元</w:t>
            </w:r>
            <w:r>
              <w:rPr>
                <w:rFonts w:hint="eastAsia" w:ascii="宋体" w:hAnsi="宋体" w:eastAsia="宋体" w:cs="宋体"/>
                <w:sz w:val="24"/>
                <w:szCs w:val="24"/>
                <w:highlight w:val="none"/>
                <w:lang w:eastAsia="zh-CN"/>
              </w:rPr>
              <w:t>】</w:t>
            </w:r>
            <w:r>
              <w:rPr>
                <w:rFonts w:hint="eastAsia" w:ascii="宋体" w:hAnsi="宋体"/>
                <w:kern w:val="0"/>
                <w:szCs w:val="21"/>
                <w:highlight w:val="none"/>
                <w:lang w:bidi="ar"/>
              </w:rPr>
              <w:t>的项目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EC934">
            <w:pPr>
              <w:widowControl/>
              <w:jc w:val="center"/>
              <w:textAlignment w:val="center"/>
              <w:rPr>
                <w:rFonts w:hint="eastAsia" w:ascii="宋体" w:hAnsi="宋体"/>
                <w:szCs w:val="21"/>
                <w:highlight w:val="none"/>
              </w:rPr>
            </w:pPr>
            <w:r>
              <w:rPr>
                <w:rFonts w:hint="eastAsia" w:ascii="宋体" w:hAnsi="宋体"/>
                <w:kern w:val="0"/>
                <w:szCs w:val="21"/>
                <w:highlight w:val="none"/>
                <w:lang w:bidi="ar"/>
              </w:rPr>
              <w:t>50亿元以上的项目</w:t>
            </w:r>
          </w:p>
        </w:tc>
        <w:tc>
          <w:tcPr>
            <w:tcW w:w="7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99B91">
            <w:pPr>
              <w:jc w:val="center"/>
              <w:rPr>
                <w:rFonts w:hint="eastAsia" w:ascii="宋体" w:hAnsi="宋体"/>
                <w:szCs w:val="21"/>
                <w:highlight w:val="none"/>
              </w:rPr>
            </w:pPr>
          </w:p>
        </w:tc>
      </w:tr>
      <w:tr w14:paraId="6ED456CD">
        <w:tblPrEx>
          <w:tblCellMar>
            <w:top w:w="0" w:type="dxa"/>
            <w:left w:w="0" w:type="dxa"/>
            <w:bottom w:w="0" w:type="dxa"/>
            <w:right w:w="0" w:type="dxa"/>
          </w:tblCellMar>
        </w:tblPrEx>
        <w:trPr>
          <w:trHeight w:val="2322" w:hRule="atLeast"/>
          <w:jc w:val="center"/>
        </w:trPr>
        <w:tc>
          <w:tcPr>
            <w:tcW w:w="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2B25D">
            <w:pPr>
              <w:widowControl/>
              <w:jc w:val="center"/>
              <w:textAlignment w:val="center"/>
              <w:rPr>
                <w:rFonts w:hint="eastAsia" w:ascii="宋体" w:hAnsi="宋体"/>
                <w:szCs w:val="21"/>
                <w:highlight w:val="none"/>
              </w:rPr>
            </w:pPr>
            <w:r>
              <w:rPr>
                <w:rFonts w:hint="eastAsia" w:ascii="宋体" w:hAnsi="宋体"/>
                <w:kern w:val="0"/>
                <w:szCs w:val="21"/>
                <w:highlight w:val="none"/>
                <w:lang w:bidi="ar"/>
              </w:rPr>
              <w:t>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16DE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项目竣工财务决算</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31C9F">
            <w:pPr>
              <w:widowControl/>
              <w:jc w:val="center"/>
              <w:textAlignment w:val="center"/>
              <w:rPr>
                <w:rFonts w:hint="eastAsia" w:ascii="宋体" w:hAnsi="宋体"/>
                <w:szCs w:val="21"/>
                <w:highlight w:val="none"/>
              </w:rPr>
            </w:pPr>
            <w:r>
              <w:rPr>
                <w:rFonts w:hint="eastAsia" w:ascii="宋体" w:hAnsi="宋体"/>
                <w:kern w:val="0"/>
                <w:szCs w:val="21"/>
                <w:highlight w:val="none"/>
                <w:lang w:bidi="ar"/>
              </w:rPr>
              <w:t>依据竣工结算资料、竣工财务决算报表、竣工财务决算说明书、账簿、凭证等资料进行评审，出具竣工财务决算审核报告</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E05D0">
            <w:pPr>
              <w:widowControl/>
              <w:jc w:val="center"/>
              <w:textAlignment w:val="center"/>
              <w:rPr>
                <w:rFonts w:hint="eastAsia" w:ascii="宋体" w:hAnsi="宋体"/>
                <w:szCs w:val="21"/>
                <w:highlight w:val="none"/>
              </w:rPr>
            </w:pPr>
            <w:r>
              <w:rPr>
                <w:rFonts w:hint="eastAsia" w:ascii="宋体" w:hAnsi="宋体"/>
                <w:kern w:val="0"/>
                <w:szCs w:val="21"/>
                <w:highlight w:val="none"/>
                <w:lang w:bidi="ar"/>
              </w:rPr>
              <w:t>送审项目竣工财务决算总金额</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1AE63">
            <w:pPr>
              <w:widowControl/>
              <w:jc w:val="center"/>
              <w:textAlignment w:val="center"/>
              <w:rPr>
                <w:rFonts w:hint="eastAsia" w:ascii="宋体" w:hAnsi="宋体"/>
                <w:szCs w:val="21"/>
                <w:highlight w:val="none"/>
              </w:rPr>
            </w:pPr>
            <w:r>
              <w:rPr>
                <w:rFonts w:hint="eastAsia" w:ascii="宋体" w:hAnsi="宋体"/>
                <w:kern w:val="0"/>
                <w:szCs w:val="21"/>
                <w:highlight w:val="none"/>
                <w:lang w:bidi="ar"/>
              </w:rPr>
              <w:t>2000（元）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C0427">
            <w:pPr>
              <w:widowControl/>
              <w:jc w:val="center"/>
              <w:textAlignment w:val="center"/>
              <w:rPr>
                <w:rFonts w:hint="eastAsia" w:ascii="宋体" w:hAnsi="宋体"/>
                <w:szCs w:val="21"/>
                <w:highlight w:val="none"/>
              </w:rPr>
            </w:pPr>
            <w:r>
              <w:rPr>
                <w:rFonts w:hint="eastAsia" w:ascii="宋体" w:hAnsi="宋体"/>
                <w:kern w:val="0"/>
                <w:szCs w:val="21"/>
                <w:highlight w:val="none"/>
                <w:lang w:bidi="ar"/>
              </w:rPr>
              <w:t>5000（元）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80D22">
            <w:pPr>
              <w:widowControl/>
              <w:jc w:val="center"/>
              <w:textAlignment w:val="center"/>
              <w:rPr>
                <w:rFonts w:hint="eastAsia" w:ascii="宋体" w:hAnsi="宋体"/>
                <w:szCs w:val="21"/>
                <w:highlight w:val="none"/>
              </w:rPr>
            </w:pPr>
            <w:r>
              <w:rPr>
                <w:rFonts w:hint="eastAsia" w:ascii="宋体" w:hAnsi="宋体"/>
                <w:kern w:val="0"/>
                <w:szCs w:val="21"/>
                <w:highlight w:val="none"/>
                <w:lang w:bidi="ar"/>
              </w:rPr>
              <w:t>10000（元）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C9755">
            <w:pPr>
              <w:widowControl/>
              <w:jc w:val="center"/>
              <w:textAlignment w:val="center"/>
              <w:rPr>
                <w:rFonts w:hint="eastAsia" w:ascii="宋体" w:hAnsi="宋体"/>
                <w:szCs w:val="21"/>
                <w:highlight w:val="none"/>
              </w:rPr>
            </w:pPr>
            <w:r>
              <w:rPr>
                <w:rFonts w:hint="eastAsia" w:ascii="宋体" w:hAnsi="宋体"/>
                <w:kern w:val="0"/>
                <w:szCs w:val="21"/>
                <w:highlight w:val="none"/>
                <w:lang w:bidi="ar"/>
              </w:rPr>
              <w:t>20000（元）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68ABE">
            <w:pPr>
              <w:widowControl/>
              <w:jc w:val="center"/>
              <w:textAlignment w:val="center"/>
              <w:rPr>
                <w:rFonts w:hint="eastAsia" w:ascii="宋体" w:hAnsi="宋体"/>
                <w:szCs w:val="21"/>
                <w:highlight w:val="none"/>
              </w:rPr>
            </w:pPr>
            <w:r>
              <w:rPr>
                <w:rFonts w:hint="eastAsia" w:ascii="宋体" w:hAnsi="宋体"/>
                <w:kern w:val="0"/>
                <w:szCs w:val="21"/>
                <w:highlight w:val="none"/>
                <w:lang w:bidi="ar"/>
              </w:rPr>
              <w:t>30000（元）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58653">
            <w:pPr>
              <w:widowControl/>
              <w:jc w:val="center"/>
              <w:textAlignment w:val="center"/>
              <w:rPr>
                <w:rFonts w:hint="eastAsia" w:ascii="宋体" w:hAnsi="宋体"/>
                <w:szCs w:val="21"/>
                <w:highlight w:val="none"/>
              </w:rPr>
            </w:pPr>
            <w:r>
              <w:rPr>
                <w:rFonts w:hint="eastAsia" w:ascii="宋体" w:hAnsi="宋体"/>
                <w:kern w:val="0"/>
                <w:szCs w:val="21"/>
                <w:highlight w:val="none"/>
                <w:lang w:bidi="ar"/>
              </w:rPr>
              <w:t>50000（元）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ED5D3">
            <w:pPr>
              <w:widowControl/>
              <w:jc w:val="center"/>
              <w:textAlignment w:val="center"/>
              <w:rPr>
                <w:rFonts w:hint="eastAsia" w:ascii="宋体" w:hAnsi="宋体"/>
                <w:szCs w:val="21"/>
                <w:highlight w:val="none"/>
              </w:rPr>
            </w:pPr>
            <w:r>
              <w:rPr>
                <w:rFonts w:hint="eastAsia" w:ascii="宋体" w:hAnsi="宋体"/>
                <w:kern w:val="0"/>
                <w:szCs w:val="21"/>
                <w:highlight w:val="none"/>
                <w:lang w:bidi="ar"/>
              </w:rPr>
              <w:t>80000（元）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DD7EC">
            <w:pPr>
              <w:widowControl/>
              <w:jc w:val="center"/>
              <w:textAlignment w:val="center"/>
              <w:rPr>
                <w:rFonts w:hint="eastAsia" w:ascii="宋体" w:hAnsi="宋体"/>
                <w:szCs w:val="21"/>
                <w:highlight w:val="none"/>
              </w:rPr>
            </w:pPr>
            <w:r>
              <w:rPr>
                <w:rFonts w:hint="eastAsia" w:ascii="宋体" w:hAnsi="宋体"/>
                <w:kern w:val="0"/>
                <w:szCs w:val="21"/>
                <w:highlight w:val="none"/>
                <w:lang w:bidi="ar"/>
              </w:rPr>
              <w:t>150000（元）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12B28">
            <w:pPr>
              <w:widowControl/>
              <w:jc w:val="center"/>
              <w:textAlignment w:val="center"/>
              <w:rPr>
                <w:rFonts w:hint="eastAsia" w:ascii="宋体" w:hAnsi="宋体"/>
                <w:szCs w:val="21"/>
                <w:highlight w:val="none"/>
              </w:rPr>
            </w:pPr>
            <w:r>
              <w:rPr>
                <w:rFonts w:hint="eastAsia" w:ascii="宋体" w:hAnsi="宋体"/>
                <w:kern w:val="0"/>
                <w:szCs w:val="21"/>
                <w:highlight w:val="none"/>
                <w:lang w:bidi="ar"/>
              </w:rPr>
              <w:t>300000（元）</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1A719">
            <w:pPr>
              <w:widowControl/>
              <w:jc w:val="center"/>
              <w:textAlignment w:val="center"/>
              <w:rPr>
                <w:rFonts w:hint="eastAsia" w:ascii="宋体" w:hAnsi="宋体"/>
                <w:szCs w:val="21"/>
                <w:highlight w:val="none"/>
              </w:rPr>
            </w:pPr>
          </w:p>
        </w:tc>
      </w:tr>
    </w:tbl>
    <w:p w14:paraId="6312E5D0">
      <w:pPr>
        <w:widowControl/>
        <w:textAlignment w:val="center"/>
        <w:rPr>
          <w:rFonts w:hint="eastAsia" w:ascii="宋体" w:hAnsi="宋体"/>
          <w:kern w:val="0"/>
          <w:szCs w:val="21"/>
          <w:highlight w:val="none"/>
        </w:rPr>
      </w:pPr>
    </w:p>
    <w:p w14:paraId="670759C4">
      <w:pPr>
        <w:widowControl/>
        <w:textAlignment w:val="center"/>
        <w:rPr>
          <w:rFonts w:hint="eastAsia" w:ascii="宋体" w:hAnsi="宋体"/>
          <w:kern w:val="0"/>
          <w:szCs w:val="21"/>
          <w:highlight w:val="none"/>
        </w:rPr>
      </w:pPr>
      <w:r>
        <w:rPr>
          <w:rFonts w:hint="eastAsia" w:ascii="宋体" w:hAnsi="宋体"/>
          <w:kern w:val="0"/>
          <w:szCs w:val="21"/>
          <w:highlight w:val="none"/>
        </w:rPr>
        <w:t>说明：①按以上收费标准为计费基准价。②</w:t>
      </w:r>
      <w:r>
        <w:rPr>
          <w:rFonts w:hint="eastAsia" w:ascii="宋体" w:hAnsi="宋体" w:cs="宋体"/>
          <w:kern w:val="0"/>
          <w:szCs w:val="21"/>
          <w:highlight w:val="none"/>
          <w:lang w:val="en-US" w:eastAsia="zh-CN"/>
        </w:rPr>
        <w:t>上表表示区间的符号中</w:t>
      </w:r>
      <w:r>
        <w:rPr>
          <w:rFonts w:hint="eastAsia" w:ascii="宋体" w:hAnsi="宋体" w:eastAsia="宋体" w:cs="宋体"/>
          <w:sz w:val="24"/>
          <w:szCs w:val="24"/>
          <w:highlight w:val="none"/>
          <w:lang w:eastAsia="zh-CN"/>
        </w:rPr>
        <w:t>“【”“】”表示包含本数，“（”“）”表示不包含本数</w:t>
      </w:r>
      <w:r>
        <w:rPr>
          <w:rFonts w:hint="eastAsia" w:ascii="宋体" w:hAnsi="宋体" w:cs="宋体"/>
          <w:sz w:val="24"/>
          <w:szCs w:val="24"/>
          <w:highlight w:val="none"/>
          <w:lang w:eastAsia="zh-CN"/>
        </w:rPr>
        <w:t>。</w:t>
      </w:r>
    </w:p>
    <w:p w14:paraId="200BA20D">
      <w:pPr>
        <w:rPr>
          <w:rFonts w:hint="eastAsia" w:ascii="宋体" w:hAnsi="宋体"/>
          <w:kern w:val="0"/>
          <w:szCs w:val="21"/>
          <w:highlight w:val="none"/>
        </w:rPr>
      </w:pPr>
    </w:p>
    <w:p w14:paraId="79548B22">
      <w:pPr>
        <w:numPr>
          <w:ilvl w:val="0"/>
          <w:numId w:val="2"/>
        </w:numPr>
        <w:tabs>
          <w:tab w:val="left" w:pos="525"/>
          <w:tab w:val="left" w:pos="846"/>
          <w:tab w:val="left" w:pos="3398"/>
        </w:tabs>
        <w:autoSpaceDE w:val="0"/>
        <w:autoSpaceDN w:val="0"/>
        <w:adjustRightInd w:val="0"/>
        <w:spacing w:before="156" w:beforeLines="50" w:line="360" w:lineRule="auto"/>
        <w:ind w:left="522"/>
        <w:jc w:val="both"/>
        <w:outlineLvl w:val="1"/>
        <w:rPr>
          <w:rFonts w:hint="eastAsia" w:ascii="宋体" w:hAnsi="宋体"/>
          <w:kern w:val="0"/>
          <w:szCs w:val="21"/>
          <w:highlight w:val="none"/>
        </w:rPr>
      </w:pPr>
      <w:r>
        <w:rPr>
          <w:rFonts w:hint="eastAsia" w:ascii="仿宋" w:hAnsi="仿宋" w:eastAsia="仿宋" w:cs="仿宋"/>
          <w:kern w:val="28"/>
          <w:sz w:val="28"/>
          <w:szCs w:val="28"/>
          <w:highlight w:val="none"/>
        </w:rPr>
        <w:br w:type="page"/>
      </w:r>
      <w:r>
        <w:rPr>
          <w:rFonts w:hint="eastAsia" w:ascii="宋体" w:hAnsi="宋体" w:eastAsia="宋体" w:cs="宋体"/>
          <w:b/>
          <w:bCs/>
          <w:color w:val="auto"/>
          <w:kern w:val="2"/>
          <w:sz w:val="21"/>
          <w:szCs w:val="21"/>
          <w:highlight w:val="none"/>
        </w:rPr>
        <w:t>附件3：政务信息化项目审核收费标准</w:t>
      </w:r>
    </w:p>
    <w:p w14:paraId="3B6AA351">
      <w:pPr>
        <w:snapToGrid w:val="0"/>
        <w:spacing w:line="360" w:lineRule="auto"/>
        <w:contextualSpacing/>
        <w:jc w:val="center"/>
        <w:rPr>
          <w:rFonts w:hint="eastAsia" w:ascii="仿宋" w:hAnsi="仿宋" w:eastAsia="仿宋" w:cs="仿宋"/>
          <w:b/>
          <w:bCs/>
          <w:kern w:val="28"/>
          <w:sz w:val="28"/>
          <w:szCs w:val="28"/>
          <w:highlight w:val="none"/>
        </w:rPr>
      </w:pPr>
      <w:r>
        <w:rPr>
          <w:rFonts w:hint="eastAsia" w:ascii="仿宋" w:hAnsi="仿宋" w:eastAsia="仿宋" w:cs="仿宋"/>
          <w:b/>
          <w:bCs/>
          <w:kern w:val="28"/>
          <w:sz w:val="28"/>
          <w:szCs w:val="28"/>
          <w:highlight w:val="none"/>
        </w:rPr>
        <w:t>政务信息化项目审核收费标准</w:t>
      </w:r>
    </w:p>
    <w:p w14:paraId="05083FF5">
      <w:pPr>
        <w:snapToGrid w:val="0"/>
        <w:spacing w:line="360" w:lineRule="auto"/>
        <w:contextualSpacing/>
        <w:jc w:val="left"/>
        <w:rPr>
          <w:rFonts w:hint="eastAsia" w:ascii="仿宋" w:hAnsi="仿宋" w:eastAsia="仿宋" w:cs="仿宋"/>
          <w:b/>
          <w:bCs/>
          <w:kern w:val="28"/>
          <w:sz w:val="28"/>
          <w:szCs w:val="28"/>
          <w:highlight w:val="none"/>
        </w:rPr>
      </w:pPr>
      <w:r>
        <w:rPr>
          <w:rFonts w:hint="eastAsia" w:ascii="仿宋" w:hAnsi="仿宋" w:eastAsia="仿宋" w:cs="仿宋"/>
          <w:b/>
          <w:bCs/>
          <w:kern w:val="28"/>
          <w:sz w:val="28"/>
          <w:szCs w:val="28"/>
          <w:highlight w:val="none"/>
        </w:rPr>
        <w:t>计算公式：造价评估标准费用（P）=项目预算金额（M）×费率（F）×调整系数（A）</w:t>
      </w:r>
    </w:p>
    <w:p w14:paraId="288A5234">
      <w:pPr>
        <w:snapToGrid w:val="0"/>
        <w:spacing w:line="360" w:lineRule="auto"/>
        <w:contextualSpacing/>
        <w:jc w:val="center"/>
        <w:rPr>
          <w:rFonts w:hint="eastAsia" w:ascii="仿宋" w:hAnsi="仿宋" w:eastAsia="仿宋" w:cs="仿宋"/>
          <w:b/>
          <w:bCs/>
          <w:kern w:val="28"/>
          <w:sz w:val="28"/>
          <w:szCs w:val="28"/>
          <w:highlight w:val="none"/>
        </w:rPr>
      </w:pPr>
      <w:r>
        <w:rPr>
          <w:rFonts w:hint="eastAsia" w:ascii="仿宋" w:hAnsi="仿宋" w:eastAsia="仿宋" w:cs="仿宋"/>
          <w:b/>
          <w:bCs/>
          <w:kern w:val="28"/>
          <w:sz w:val="28"/>
          <w:szCs w:val="28"/>
          <w:highlight w:val="none"/>
        </w:rPr>
        <w:t>基准费率表</w:t>
      </w:r>
    </w:p>
    <w:tbl>
      <w:tblPr>
        <w:tblStyle w:val="14"/>
        <w:tblW w:w="12838" w:type="dxa"/>
        <w:jc w:val="center"/>
        <w:tblLayout w:type="autofit"/>
        <w:tblCellMar>
          <w:top w:w="0" w:type="dxa"/>
          <w:left w:w="108" w:type="dxa"/>
          <w:bottom w:w="0" w:type="dxa"/>
          <w:right w:w="108" w:type="dxa"/>
        </w:tblCellMar>
      </w:tblPr>
      <w:tblGrid>
        <w:gridCol w:w="1681"/>
        <w:gridCol w:w="7994"/>
        <w:gridCol w:w="3163"/>
      </w:tblGrid>
      <w:tr w14:paraId="74DF0D5C">
        <w:tblPrEx>
          <w:tblCellMar>
            <w:top w:w="0" w:type="dxa"/>
            <w:left w:w="108" w:type="dxa"/>
            <w:bottom w:w="0" w:type="dxa"/>
            <w:right w:w="108" w:type="dxa"/>
          </w:tblCellMar>
        </w:tblPrEx>
        <w:trPr>
          <w:trHeight w:val="51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805135">
            <w:pPr>
              <w:jc w:val="center"/>
              <w:rPr>
                <w:rFonts w:ascii="Times New Roman" w:hAnsi="Times New Roman" w:cs="Times New Roman"/>
                <w:highlight w:val="none"/>
              </w:rPr>
            </w:pPr>
            <w:r>
              <w:rPr>
                <w:rFonts w:ascii="Times New Roman" w:hAnsi="Times New Roman" w:cs="Times New Roman"/>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84090">
            <w:pPr>
              <w:jc w:val="center"/>
              <w:rPr>
                <w:rFonts w:ascii="Times New Roman" w:hAnsi="Times New Roman" w:cs="Times New Roman"/>
                <w:highlight w:val="none"/>
              </w:rPr>
            </w:pPr>
            <w:r>
              <w:rPr>
                <w:rFonts w:ascii="Times New Roman" w:hAnsi="Times New Roman" w:cs="Times New Roman"/>
                <w:highlight w:val="none"/>
              </w:rPr>
              <w:t>项目预算金额（M）（万元）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193C7">
            <w:pPr>
              <w:jc w:val="center"/>
              <w:rPr>
                <w:rFonts w:ascii="Times New Roman" w:hAnsi="Times New Roman" w:cs="Times New Roman"/>
                <w:highlight w:val="none"/>
              </w:rPr>
            </w:pPr>
            <w:r>
              <w:rPr>
                <w:rFonts w:ascii="Times New Roman" w:hAnsi="Times New Roman" w:cs="Times New Roman"/>
                <w:highlight w:val="none"/>
              </w:rPr>
              <w:t>费率（F）</w:t>
            </w:r>
          </w:p>
        </w:tc>
      </w:tr>
      <w:tr w14:paraId="604B3DEF">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107AFC">
            <w:pPr>
              <w:jc w:val="center"/>
              <w:rPr>
                <w:rFonts w:ascii="Times New Roman" w:hAnsi="Times New Roman" w:cs="Times New Roman"/>
                <w:highlight w:val="none"/>
              </w:rPr>
            </w:pPr>
            <w:r>
              <w:rPr>
                <w:rFonts w:ascii="Times New Roman" w:hAnsi="Times New Roman" w:cs="Times New Roman"/>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AD311">
            <w:pPr>
              <w:jc w:val="center"/>
              <w:rPr>
                <w:rFonts w:ascii="Times New Roman" w:hAnsi="Times New Roman" w:cs="Times New Roman"/>
                <w:highlight w:val="none"/>
              </w:rPr>
            </w:pPr>
            <w:r>
              <w:rPr>
                <w:rFonts w:ascii="Times New Roman" w:hAnsi="Times New Roman" w:cs="Times New Roman"/>
                <w:highlight w:val="none"/>
              </w:rPr>
              <w:t>M&lt;200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8FEB86">
            <w:pPr>
              <w:jc w:val="center"/>
              <w:rPr>
                <w:rFonts w:ascii="Times New Roman" w:hAnsi="Times New Roman" w:cs="Times New Roman"/>
                <w:highlight w:val="none"/>
              </w:rPr>
            </w:pPr>
            <w:r>
              <w:rPr>
                <w:rFonts w:ascii="Times New Roman" w:hAnsi="Times New Roman" w:cs="Times New Roman"/>
                <w:highlight w:val="none"/>
              </w:rPr>
              <w:t>0.60%</w:t>
            </w:r>
          </w:p>
        </w:tc>
      </w:tr>
      <w:tr w14:paraId="12701E88">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93D3E3">
            <w:pPr>
              <w:jc w:val="center"/>
              <w:rPr>
                <w:rFonts w:ascii="Times New Roman" w:hAnsi="Times New Roman" w:cs="Times New Roman"/>
                <w:highlight w:val="none"/>
              </w:rPr>
            </w:pPr>
            <w:r>
              <w:rPr>
                <w:rFonts w:ascii="Times New Roman" w:hAnsi="Times New Roman" w:cs="Times New Roman"/>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34920A">
            <w:pPr>
              <w:jc w:val="center"/>
              <w:rPr>
                <w:rFonts w:ascii="Times New Roman" w:hAnsi="Times New Roman" w:cs="Times New Roman"/>
                <w:highlight w:val="none"/>
              </w:rPr>
            </w:pPr>
            <w:r>
              <w:rPr>
                <w:rFonts w:ascii="Times New Roman" w:hAnsi="Times New Roman" w:cs="Times New Roman"/>
                <w:highlight w:val="none"/>
              </w:rPr>
              <w:t>200≤M&lt;500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37D05">
            <w:pPr>
              <w:jc w:val="center"/>
              <w:rPr>
                <w:rFonts w:ascii="Times New Roman" w:hAnsi="Times New Roman" w:cs="Times New Roman"/>
                <w:highlight w:val="none"/>
              </w:rPr>
            </w:pPr>
            <w:r>
              <w:rPr>
                <w:rFonts w:ascii="Times New Roman" w:hAnsi="Times New Roman" w:cs="Times New Roman"/>
                <w:highlight w:val="none"/>
              </w:rPr>
              <w:t>0.50%</w:t>
            </w:r>
          </w:p>
        </w:tc>
      </w:tr>
      <w:tr w14:paraId="4CE31710">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5008AB">
            <w:pPr>
              <w:jc w:val="center"/>
              <w:rPr>
                <w:rFonts w:ascii="Times New Roman" w:hAnsi="Times New Roman" w:cs="Times New Roman"/>
                <w:highlight w:val="none"/>
              </w:rPr>
            </w:pPr>
            <w:r>
              <w:rPr>
                <w:rFonts w:ascii="Times New Roman" w:hAnsi="Times New Roman" w:cs="Times New Roman"/>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969FB">
            <w:pPr>
              <w:jc w:val="center"/>
              <w:rPr>
                <w:rFonts w:ascii="Times New Roman" w:hAnsi="Times New Roman" w:cs="Times New Roman"/>
                <w:highlight w:val="none"/>
              </w:rPr>
            </w:pPr>
            <w:r>
              <w:rPr>
                <w:rFonts w:ascii="Times New Roman" w:hAnsi="Times New Roman" w:cs="Times New Roman"/>
                <w:highlight w:val="none"/>
              </w:rPr>
              <w:t>500≤M&lt;1000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37E59">
            <w:pPr>
              <w:jc w:val="center"/>
              <w:rPr>
                <w:rFonts w:ascii="Times New Roman" w:hAnsi="Times New Roman" w:cs="Times New Roman"/>
                <w:highlight w:val="none"/>
              </w:rPr>
            </w:pPr>
            <w:r>
              <w:rPr>
                <w:rFonts w:ascii="Times New Roman" w:hAnsi="Times New Roman" w:cs="Times New Roman"/>
                <w:highlight w:val="none"/>
              </w:rPr>
              <w:t>0.40%</w:t>
            </w:r>
          </w:p>
        </w:tc>
      </w:tr>
      <w:tr w14:paraId="1694F004">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F8AF08">
            <w:pPr>
              <w:jc w:val="center"/>
              <w:rPr>
                <w:rFonts w:ascii="Times New Roman" w:hAnsi="Times New Roman" w:cs="Times New Roman"/>
                <w:highlight w:val="none"/>
              </w:rPr>
            </w:pPr>
            <w:r>
              <w:rPr>
                <w:rFonts w:ascii="Times New Roman" w:hAnsi="Times New Roman" w:cs="Times New Roman"/>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FA729">
            <w:pPr>
              <w:jc w:val="center"/>
              <w:rPr>
                <w:rFonts w:ascii="Times New Roman" w:hAnsi="Times New Roman" w:cs="Times New Roman"/>
                <w:highlight w:val="none"/>
              </w:rPr>
            </w:pPr>
            <w:r>
              <w:rPr>
                <w:rFonts w:ascii="Times New Roman" w:hAnsi="Times New Roman" w:cs="Times New Roman"/>
                <w:highlight w:val="none"/>
              </w:rPr>
              <w:t>1000≤M&lt;3000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CC742">
            <w:pPr>
              <w:jc w:val="center"/>
              <w:rPr>
                <w:rFonts w:ascii="Times New Roman" w:hAnsi="Times New Roman" w:cs="Times New Roman"/>
                <w:highlight w:val="none"/>
              </w:rPr>
            </w:pPr>
            <w:r>
              <w:rPr>
                <w:rFonts w:ascii="Times New Roman" w:hAnsi="Times New Roman" w:cs="Times New Roman"/>
                <w:highlight w:val="none"/>
              </w:rPr>
              <w:t>0.15%</w:t>
            </w:r>
          </w:p>
        </w:tc>
      </w:tr>
      <w:tr w14:paraId="0F3BE0EF">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C89667">
            <w:pPr>
              <w:jc w:val="center"/>
              <w:rPr>
                <w:rFonts w:ascii="Times New Roman" w:hAnsi="Times New Roman" w:cs="Times New Roman"/>
                <w:highlight w:val="none"/>
              </w:rPr>
            </w:pPr>
            <w:r>
              <w:rPr>
                <w:rFonts w:ascii="Times New Roman" w:hAnsi="Times New Roman" w:cs="Times New Roman"/>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EDC2A">
            <w:pPr>
              <w:jc w:val="center"/>
              <w:rPr>
                <w:rFonts w:ascii="Times New Roman" w:hAnsi="Times New Roman" w:cs="Times New Roman"/>
                <w:highlight w:val="none"/>
              </w:rPr>
            </w:pPr>
            <w:r>
              <w:rPr>
                <w:rFonts w:ascii="Times New Roman" w:hAnsi="Times New Roman" w:cs="Times New Roman"/>
                <w:highlight w:val="none"/>
              </w:rPr>
              <w:t>3000≤M&lt;6000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0FCB8">
            <w:pPr>
              <w:jc w:val="center"/>
              <w:rPr>
                <w:rFonts w:ascii="Times New Roman" w:hAnsi="Times New Roman" w:cs="Times New Roman"/>
                <w:highlight w:val="none"/>
              </w:rPr>
            </w:pPr>
            <w:r>
              <w:rPr>
                <w:rFonts w:ascii="Times New Roman" w:hAnsi="Times New Roman" w:cs="Times New Roman"/>
                <w:highlight w:val="none"/>
              </w:rPr>
              <w:t>0.03%</w:t>
            </w:r>
          </w:p>
        </w:tc>
      </w:tr>
      <w:tr w14:paraId="0FFF0B2F">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0EC40">
            <w:pPr>
              <w:jc w:val="center"/>
              <w:rPr>
                <w:rFonts w:ascii="Times New Roman" w:hAnsi="Times New Roman" w:cs="Times New Roman"/>
                <w:highlight w:val="none"/>
              </w:rPr>
            </w:pPr>
            <w:r>
              <w:rPr>
                <w:rFonts w:ascii="Times New Roman" w:hAnsi="Times New Roman" w:cs="Times New Roman"/>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3F8F0">
            <w:pPr>
              <w:jc w:val="center"/>
              <w:rPr>
                <w:rFonts w:ascii="Times New Roman" w:hAnsi="Times New Roman" w:cs="Times New Roman"/>
                <w:highlight w:val="none"/>
              </w:rPr>
            </w:pPr>
            <w:r>
              <w:rPr>
                <w:rFonts w:ascii="Times New Roman" w:hAnsi="Times New Roman" w:cs="Times New Roman"/>
                <w:highlight w:val="none"/>
              </w:rPr>
              <w:t>6000≤M&lt;10000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1F70A">
            <w:pPr>
              <w:jc w:val="center"/>
              <w:rPr>
                <w:rFonts w:ascii="Times New Roman" w:hAnsi="Times New Roman" w:cs="Times New Roman"/>
                <w:highlight w:val="none"/>
              </w:rPr>
            </w:pPr>
            <w:r>
              <w:rPr>
                <w:rFonts w:ascii="Times New Roman" w:hAnsi="Times New Roman" w:cs="Times New Roman"/>
                <w:highlight w:val="none"/>
              </w:rPr>
              <w:t>0.02%</w:t>
            </w:r>
          </w:p>
        </w:tc>
      </w:tr>
      <w:tr w14:paraId="3E8862BA">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5CC7AA">
            <w:pPr>
              <w:jc w:val="center"/>
              <w:rPr>
                <w:rFonts w:ascii="Times New Roman" w:hAnsi="Times New Roman" w:cs="Times New Roman"/>
                <w:highlight w:val="none"/>
              </w:rPr>
            </w:pPr>
            <w:r>
              <w:rPr>
                <w:rFonts w:ascii="Times New Roman" w:hAnsi="Times New Roman" w:cs="Times New Roman"/>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4AA6F">
            <w:pPr>
              <w:jc w:val="center"/>
              <w:rPr>
                <w:rFonts w:ascii="Times New Roman" w:hAnsi="Times New Roman" w:cs="Times New Roman"/>
                <w:highlight w:val="none"/>
              </w:rPr>
            </w:pPr>
            <w:r>
              <w:rPr>
                <w:rFonts w:ascii="Times New Roman" w:hAnsi="Times New Roman" w:cs="Times New Roman"/>
                <w:highlight w:val="none"/>
              </w:rPr>
              <w:t>M≥10000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B50D2">
            <w:pPr>
              <w:jc w:val="center"/>
              <w:rPr>
                <w:rFonts w:ascii="Times New Roman" w:hAnsi="Times New Roman" w:cs="Times New Roman"/>
                <w:highlight w:val="none"/>
              </w:rPr>
            </w:pPr>
            <w:r>
              <w:rPr>
                <w:rFonts w:ascii="Times New Roman" w:hAnsi="Times New Roman" w:cs="Times New Roman"/>
                <w:highlight w:val="none"/>
              </w:rPr>
              <w:t>0.01%</w:t>
            </w:r>
          </w:p>
        </w:tc>
      </w:tr>
      <w:tr w14:paraId="6D2E44E8">
        <w:tblPrEx>
          <w:tblCellMar>
            <w:top w:w="0" w:type="dxa"/>
            <w:left w:w="108" w:type="dxa"/>
            <w:bottom w:w="0" w:type="dxa"/>
            <w:right w:w="108" w:type="dxa"/>
          </w:tblCellMar>
        </w:tblPrEx>
        <w:trPr>
          <w:trHeight w:val="470" w:hRule="atLeast"/>
          <w:jc w:val="center"/>
        </w:trPr>
        <w:tc>
          <w:tcPr>
            <w:tcW w:w="0" w:type="auto"/>
            <w:gridSpan w:val="3"/>
            <w:tcBorders>
              <w:top w:val="nil"/>
              <w:left w:val="nil"/>
              <w:bottom w:val="nil"/>
              <w:right w:val="nil"/>
            </w:tcBorders>
            <w:noWrap/>
            <w:vAlign w:val="center"/>
          </w:tcPr>
          <w:p w14:paraId="11405CA1">
            <w:pPr>
              <w:jc w:val="left"/>
              <w:rPr>
                <w:rFonts w:ascii="Times New Roman" w:hAnsi="Times New Roman" w:cs="Times New Roman"/>
                <w:highlight w:val="none"/>
              </w:rPr>
            </w:pPr>
            <w:r>
              <w:rPr>
                <w:rFonts w:ascii="宋体" w:hAnsi="宋体"/>
                <w:kern w:val="0"/>
                <w:szCs w:val="21"/>
                <w:highlight w:val="none"/>
              </w:rPr>
              <w:t>注：计费额采用分段计算，处于两个数值区间的，采用直线内插法确定收费费用</w:t>
            </w:r>
          </w:p>
        </w:tc>
      </w:tr>
    </w:tbl>
    <w:p w14:paraId="23166FDE">
      <w:pPr>
        <w:jc w:val="center"/>
        <w:rPr>
          <w:highlight w:val="none"/>
        </w:rPr>
        <w:sectPr>
          <w:footerReference r:id="rId4" w:type="default"/>
          <w:pgSz w:w="16838" w:h="11906" w:orient="landscape"/>
          <w:pgMar w:top="1417" w:right="1440" w:bottom="1417" w:left="1440" w:header="851" w:footer="992" w:gutter="0"/>
          <w:cols w:space="720" w:num="1"/>
          <w:docGrid w:type="lines" w:linePitch="324" w:charSpace="0"/>
        </w:sectPr>
      </w:pPr>
    </w:p>
    <w:p w14:paraId="2ECE6D98">
      <w:pPr>
        <w:jc w:val="center"/>
        <w:rPr>
          <w:rFonts w:hint="eastAsia" w:ascii="仿宋" w:hAnsi="仿宋" w:eastAsia="仿宋" w:cs="仿宋"/>
          <w:b/>
          <w:bCs/>
          <w:kern w:val="28"/>
          <w:sz w:val="28"/>
          <w:szCs w:val="28"/>
          <w:highlight w:val="none"/>
        </w:rPr>
      </w:pPr>
      <w:r>
        <w:rPr>
          <w:rFonts w:hint="eastAsia" w:ascii="仿宋" w:hAnsi="仿宋" w:eastAsia="仿宋" w:cs="仿宋"/>
          <w:b/>
          <w:bCs/>
          <w:kern w:val="28"/>
          <w:sz w:val="28"/>
          <w:szCs w:val="28"/>
          <w:highlight w:val="none"/>
        </w:rPr>
        <w:t>项目类别调整系数及最低结算标准表</w:t>
      </w:r>
    </w:p>
    <w:tbl>
      <w:tblPr>
        <w:tblStyle w:val="14"/>
        <w:tblW w:w="12958" w:type="dxa"/>
        <w:jc w:val="center"/>
        <w:tblLayout w:type="autofit"/>
        <w:tblCellMar>
          <w:top w:w="0" w:type="dxa"/>
          <w:left w:w="108" w:type="dxa"/>
          <w:bottom w:w="0" w:type="dxa"/>
          <w:right w:w="108" w:type="dxa"/>
        </w:tblCellMar>
      </w:tblPr>
      <w:tblGrid>
        <w:gridCol w:w="1277"/>
        <w:gridCol w:w="8323"/>
        <w:gridCol w:w="3358"/>
      </w:tblGrid>
      <w:tr w14:paraId="33FC8190">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4F20CF">
            <w:pPr>
              <w:jc w:val="center"/>
              <w:rPr>
                <w:rFonts w:ascii="Times New Roman" w:hAnsi="Times New Roman" w:cs="Times New Roman"/>
                <w:highlight w:val="none"/>
              </w:rPr>
            </w:pPr>
            <w:r>
              <w:rPr>
                <w:rFonts w:ascii="Times New Roman" w:hAnsi="Times New Roman" w:cs="Times New Roman"/>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A6EB4">
            <w:pPr>
              <w:jc w:val="center"/>
              <w:rPr>
                <w:rFonts w:ascii="Times New Roman" w:hAnsi="Times New Roman" w:cs="Times New Roman"/>
                <w:highlight w:val="none"/>
              </w:rPr>
            </w:pPr>
            <w:r>
              <w:rPr>
                <w:rFonts w:ascii="Times New Roman" w:hAnsi="Times New Roman" w:cs="Times New Roman"/>
                <w:highlight w:val="none"/>
              </w:rPr>
              <w:t>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5D07F">
            <w:pPr>
              <w:jc w:val="center"/>
              <w:rPr>
                <w:rFonts w:ascii="Times New Roman" w:hAnsi="Times New Roman" w:cs="Times New Roman"/>
                <w:highlight w:val="none"/>
              </w:rPr>
            </w:pPr>
            <w:r>
              <w:rPr>
                <w:rFonts w:ascii="Times New Roman" w:hAnsi="Times New Roman" w:cs="Times New Roman"/>
                <w:highlight w:val="none"/>
              </w:rPr>
              <w:t>调整系数（A）</w:t>
            </w:r>
          </w:p>
        </w:tc>
      </w:tr>
      <w:tr w14:paraId="323ACE6C">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033A97">
            <w:pPr>
              <w:jc w:val="center"/>
              <w:rPr>
                <w:rFonts w:ascii="Times New Roman" w:hAnsi="Times New Roman" w:cs="Times New Roman"/>
                <w:highlight w:val="none"/>
              </w:rPr>
            </w:pPr>
            <w:r>
              <w:rPr>
                <w:rFonts w:ascii="Times New Roman" w:hAnsi="Times New Roman" w:cs="Times New Roman"/>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BA56D">
            <w:pPr>
              <w:jc w:val="center"/>
              <w:rPr>
                <w:rFonts w:ascii="Times New Roman" w:hAnsi="Times New Roman" w:cs="Times New Roman"/>
                <w:highlight w:val="none"/>
              </w:rPr>
            </w:pPr>
            <w:r>
              <w:rPr>
                <w:rFonts w:ascii="Times New Roman" w:hAnsi="Times New Roman" w:cs="Times New Roman"/>
                <w:highlight w:val="none"/>
              </w:rPr>
              <w:t>基础设施服务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A35EFBB">
            <w:pPr>
              <w:jc w:val="center"/>
              <w:rPr>
                <w:rFonts w:ascii="Times New Roman" w:hAnsi="Times New Roman" w:cs="Times New Roman"/>
                <w:highlight w:val="none"/>
              </w:rPr>
            </w:pPr>
            <w:r>
              <w:rPr>
                <w:rFonts w:ascii="Times New Roman" w:hAnsi="Times New Roman" w:cs="Times New Roman"/>
                <w:highlight w:val="none"/>
              </w:rPr>
              <w:t>0.6</w:t>
            </w:r>
          </w:p>
        </w:tc>
      </w:tr>
      <w:tr w14:paraId="19C45B82">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0DD7E2">
            <w:pPr>
              <w:jc w:val="center"/>
              <w:rPr>
                <w:rFonts w:ascii="Times New Roman" w:hAnsi="Times New Roman" w:cs="Times New Roman"/>
                <w:highlight w:val="none"/>
              </w:rPr>
            </w:pPr>
            <w:r>
              <w:rPr>
                <w:rFonts w:ascii="Times New Roman" w:hAnsi="Times New Roman" w:cs="Times New Roman"/>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FB9FD">
            <w:pPr>
              <w:jc w:val="center"/>
              <w:rPr>
                <w:rFonts w:ascii="Times New Roman" w:hAnsi="Times New Roman" w:cs="Times New Roman"/>
                <w:highlight w:val="none"/>
              </w:rPr>
            </w:pPr>
            <w:r>
              <w:rPr>
                <w:rFonts w:ascii="Times New Roman" w:hAnsi="Times New Roman" w:cs="Times New Roman"/>
                <w:highlight w:val="none"/>
              </w:rPr>
              <w:t>基础设施运行维护服务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2F044B">
            <w:pPr>
              <w:jc w:val="center"/>
              <w:rPr>
                <w:rFonts w:ascii="Times New Roman" w:hAnsi="Times New Roman" w:cs="Times New Roman"/>
                <w:highlight w:val="none"/>
              </w:rPr>
            </w:pPr>
          </w:p>
        </w:tc>
      </w:tr>
      <w:tr w14:paraId="4A897E59">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F74ECA">
            <w:pPr>
              <w:jc w:val="center"/>
              <w:rPr>
                <w:rFonts w:ascii="Times New Roman" w:hAnsi="Times New Roman" w:cs="Times New Roman"/>
                <w:highlight w:val="none"/>
              </w:rPr>
            </w:pPr>
            <w:r>
              <w:rPr>
                <w:rFonts w:ascii="Times New Roman" w:hAnsi="Times New Roman" w:cs="Times New Roman"/>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65693">
            <w:pPr>
              <w:jc w:val="center"/>
              <w:rPr>
                <w:rFonts w:ascii="Times New Roman" w:hAnsi="Times New Roman" w:cs="Times New Roman"/>
                <w:highlight w:val="none"/>
              </w:rPr>
            </w:pPr>
            <w:r>
              <w:rPr>
                <w:rFonts w:ascii="Times New Roman" w:hAnsi="Times New Roman" w:cs="Times New Roman"/>
                <w:highlight w:val="none"/>
              </w:rPr>
              <w:t>软件开发服务（功能点估算法）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843246">
            <w:pPr>
              <w:jc w:val="center"/>
              <w:rPr>
                <w:rFonts w:ascii="Times New Roman" w:hAnsi="Times New Roman" w:cs="Times New Roman"/>
                <w:highlight w:val="none"/>
              </w:rPr>
            </w:pPr>
            <w:r>
              <w:rPr>
                <w:rFonts w:ascii="Times New Roman" w:hAnsi="Times New Roman" w:cs="Times New Roman"/>
                <w:highlight w:val="none"/>
              </w:rPr>
              <w:t>1</w:t>
            </w:r>
          </w:p>
        </w:tc>
      </w:tr>
      <w:tr w14:paraId="0E38CBA4">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C0EAC9">
            <w:pPr>
              <w:jc w:val="center"/>
              <w:rPr>
                <w:rFonts w:ascii="Times New Roman" w:hAnsi="Times New Roman" w:cs="Times New Roman"/>
                <w:highlight w:val="none"/>
              </w:rPr>
            </w:pPr>
            <w:r>
              <w:rPr>
                <w:rFonts w:ascii="Times New Roman" w:hAnsi="Times New Roman" w:cs="Times New Roman"/>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BDB50">
            <w:pPr>
              <w:jc w:val="center"/>
              <w:rPr>
                <w:rFonts w:ascii="Times New Roman" w:hAnsi="Times New Roman" w:cs="Times New Roman"/>
                <w:highlight w:val="none"/>
              </w:rPr>
            </w:pPr>
            <w:r>
              <w:rPr>
                <w:rFonts w:ascii="Times New Roman" w:hAnsi="Times New Roman" w:cs="Times New Roman"/>
                <w:highlight w:val="none"/>
              </w:rPr>
              <w:t>软件系统运行维护服务（功能点估算法）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197209">
            <w:pPr>
              <w:jc w:val="center"/>
              <w:rPr>
                <w:rFonts w:ascii="Times New Roman" w:hAnsi="Times New Roman" w:cs="Times New Roman"/>
                <w:highlight w:val="none"/>
              </w:rPr>
            </w:pPr>
          </w:p>
        </w:tc>
      </w:tr>
      <w:tr w14:paraId="696D46B4">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3E91C89">
            <w:pPr>
              <w:jc w:val="center"/>
              <w:rPr>
                <w:rFonts w:ascii="Times New Roman" w:hAnsi="Times New Roman" w:cs="Times New Roman"/>
                <w:highlight w:val="none"/>
              </w:rPr>
            </w:pPr>
            <w:r>
              <w:rPr>
                <w:rFonts w:ascii="Times New Roman" w:hAnsi="Times New Roman" w:cs="Times New Roman"/>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871F7">
            <w:pPr>
              <w:jc w:val="center"/>
              <w:rPr>
                <w:rFonts w:ascii="Times New Roman" w:hAnsi="Times New Roman" w:cs="Times New Roman"/>
                <w:highlight w:val="none"/>
              </w:rPr>
            </w:pPr>
            <w:r>
              <w:rPr>
                <w:rFonts w:ascii="Times New Roman" w:hAnsi="Times New Roman" w:cs="Times New Roman"/>
                <w:highlight w:val="none"/>
              </w:rPr>
              <w:t>软件开发服务（其他估算法）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638BB11">
            <w:pPr>
              <w:jc w:val="center"/>
              <w:rPr>
                <w:rFonts w:ascii="Times New Roman" w:hAnsi="Times New Roman" w:cs="Times New Roman"/>
                <w:highlight w:val="none"/>
              </w:rPr>
            </w:pPr>
            <w:r>
              <w:rPr>
                <w:rFonts w:ascii="Times New Roman" w:hAnsi="Times New Roman" w:cs="Times New Roman"/>
                <w:highlight w:val="none"/>
              </w:rPr>
              <w:t>0.5</w:t>
            </w:r>
          </w:p>
        </w:tc>
      </w:tr>
      <w:tr w14:paraId="404AA37C">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3E44D4">
            <w:pPr>
              <w:jc w:val="center"/>
              <w:rPr>
                <w:rFonts w:ascii="Times New Roman" w:hAnsi="Times New Roman" w:cs="Times New Roman"/>
                <w:highlight w:val="none"/>
              </w:rPr>
            </w:pPr>
            <w:r>
              <w:rPr>
                <w:rFonts w:ascii="Times New Roman" w:hAnsi="Times New Roman" w:cs="Times New Roman"/>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33FE7">
            <w:pPr>
              <w:jc w:val="center"/>
              <w:rPr>
                <w:rFonts w:ascii="Times New Roman" w:hAnsi="Times New Roman" w:cs="Times New Roman"/>
                <w:highlight w:val="none"/>
              </w:rPr>
            </w:pPr>
            <w:r>
              <w:rPr>
                <w:rFonts w:ascii="Times New Roman" w:hAnsi="Times New Roman" w:cs="Times New Roman"/>
                <w:highlight w:val="none"/>
              </w:rPr>
              <w:t>软件系统运行维护服务（其他估算法）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172DF4">
            <w:pPr>
              <w:jc w:val="center"/>
              <w:rPr>
                <w:rFonts w:ascii="Times New Roman" w:hAnsi="Times New Roman" w:cs="Times New Roman"/>
                <w:highlight w:val="none"/>
              </w:rPr>
            </w:pPr>
          </w:p>
        </w:tc>
      </w:tr>
      <w:tr w14:paraId="589D288E">
        <w:tblPrEx>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6EAE95">
            <w:pPr>
              <w:jc w:val="center"/>
              <w:rPr>
                <w:rFonts w:ascii="Times New Roman" w:hAnsi="Times New Roman" w:cs="Times New Roman"/>
                <w:highlight w:val="none"/>
              </w:rPr>
            </w:pPr>
            <w:r>
              <w:rPr>
                <w:rFonts w:ascii="Times New Roman" w:hAnsi="Times New Roman" w:cs="Times New Roman"/>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C3822">
            <w:pPr>
              <w:jc w:val="center"/>
              <w:rPr>
                <w:rFonts w:ascii="Times New Roman" w:hAnsi="Times New Roman" w:cs="Times New Roman"/>
                <w:highlight w:val="none"/>
              </w:rPr>
            </w:pPr>
            <w:r>
              <w:rPr>
                <w:rFonts w:ascii="Times New Roman" w:hAnsi="Times New Roman" w:cs="Times New Roman"/>
                <w:highlight w:val="none"/>
              </w:rPr>
              <w:t>第三方服务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725E6B">
            <w:pPr>
              <w:jc w:val="center"/>
              <w:rPr>
                <w:rFonts w:ascii="Times New Roman" w:hAnsi="Times New Roman" w:cs="Times New Roman"/>
                <w:highlight w:val="none"/>
              </w:rPr>
            </w:pPr>
          </w:p>
        </w:tc>
      </w:tr>
      <w:tr w14:paraId="29CF312F">
        <w:tblPrEx>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29A8D4">
            <w:pPr>
              <w:jc w:val="center"/>
              <w:rPr>
                <w:rFonts w:ascii="Times New Roman" w:hAnsi="Times New Roman" w:cs="Times New Roman"/>
                <w:highlight w:val="none"/>
              </w:rPr>
            </w:pPr>
            <w:r>
              <w:rPr>
                <w:rFonts w:ascii="Times New Roman" w:hAnsi="Times New Roman" w:cs="Times New Roman"/>
                <w:highlight w:val="none"/>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3E8D4D">
            <w:pPr>
              <w:jc w:val="center"/>
              <w:rPr>
                <w:rFonts w:ascii="Times New Roman" w:hAnsi="Times New Roman" w:cs="Times New Roman"/>
                <w:highlight w:val="none"/>
              </w:rPr>
            </w:pPr>
            <w:r>
              <w:rPr>
                <w:rFonts w:ascii="Times New Roman" w:hAnsi="Times New Roman" w:cs="Times New Roman"/>
                <w:highlight w:val="none"/>
              </w:rPr>
              <w:t>系统业务运营服务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BFBD54">
            <w:pPr>
              <w:jc w:val="center"/>
              <w:rPr>
                <w:rFonts w:ascii="Times New Roman" w:hAnsi="Times New Roman" w:cs="Times New Roman"/>
                <w:highlight w:val="none"/>
              </w:rPr>
            </w:pPr>
          </w:p>
        </w:tc>
      </w:tr>
    </w:tbl>
    <w:p w14:paraId="0C9EA0AF">
      <w:pPr>
        <w:widowControl/>
        <w:textAlignment w:val="center"/>
        <w:rPr>
          <w:rFonts w:hint="eastAsia" w:ascii="宋体" w:hAnsi="宋体"/>
          <w:kern w:val="0"/>
          <w:szCs w:val="21"/>
          <w:highlight w:val="none"/>
          <w:lang w:bidi="ar"/>
        </w:rPr>
      </w:pPr>
    </w:p>
    <w:p w14:paraId="57B178F3">
      <w:pPr>
        <w:keepNext w:val="0"/>
        <w:keepLines w:val="0"/>
        <w:pageBreakBefore w:val="0"/>
        <w:widowControl/>
        <w:kinsoku/>
        <w:wordWrap/>
        <w:overflowPunct/>
        <w:topLinePunct w:val="0"/>
        <w:autoSpaceDE/>
        <w:autoSpaceDN/>
        <w:bidi w:val="0"/>
        <w:adjustRightInd/>
        <w:snapToGrid/>
        <w:spacing w:line="440" w:lineRule="exact"/>
        <w:textAlignment w:val="auto"/>
        <w:rPr>
          <w:rFonts w:cs="宋体" w:hAnsiTheme="minorHAnsi"/>
          <w:sz w:val="21"/>
          <w:szCs w:val="21"/>
          <w:highlight w:val="none"/>
        </w:rPr>
      </w:pPr>
      <w:r>
        <w:rPr>
          <w:rFonts w:hint="eastAsia" w:ascii="宋体" w:hAnsi="宋体"/>
          <w:kern w:val="0"/>
          <w:szCs w:val="21"/>
          <w:highlight w:val="none"/>
        </w:rPr>
        <w:t>说明：按以上收费标准为计费基准价。</w:t>
      </w:r>
    </w:p>
    <w:sectPr>
      <w:footerReference r:id="rId5" w:type="default"/>
      <w:pgSz w:w="16838" w:h="11906" w:orient="landscape"/>
      <w:pgMar w:top="1474" w:right="1135" w:bottom="147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BA0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398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C4398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608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AE47B">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BAE47B">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36C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9653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E59653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47529"/>
    <w:multiLevelType w:val="singleLevel"/>
    <w:tmpl w:val="D9747529"/>
    <w:lvl w:ilvl="0" w:tentative="0">
      <w:start w:val="2"/>
      <w:numFmt w:val="chineseCounting"/>
      <w:suff w:val="nothing"/>
      <w:lvlText w:val="%1、"/>
      <w:lvlJc w:val="left"/>
      <w:rPr>
        <w:rFonts w:hint="eastAsia"/>
      </w:rPr>
    </w:lvl>
  </w:abstractNum>
  <w:abstractNum w:abstractNumId="1">
    <w:nsid w:val="306AF41F"/>
    <w:multiLevelType w:val="singleLevel"/>
    <w:tmpl w:val="306AF41F"/>
    <w:lvl w:ilvl="0" w:tentative="0">
      <w:start w:val="7"/>
      <w:numFmt w:val="decimal"/>
      <w:suff w:val="space"/>
      <w:lvlText w:val="%1）"/>
      <w:lvlJc w:val="left"/>
    </w:lvl>
  </w:abstractNum>
  <w:abstractNum w:abstractNumId="2">
    <w:nsid w:val="516003D4"/>
    <w:multiLevelType w:val="multilevel"/>
    <w:tmpl w:val="516003D4"/>
    <w:lvl w:ilvl="0" w:tentative="0">
      <w:start w:val="1"/>
      <w:numFmt w:val="japaneseCounting"/>
      <w:lvlText w:val="%1、"/>
      <w:lvlJc w:val="left"/>
      <w:pPr>
        <w:tabs>
          <w:tab w:val="left" w:pos="704"/>
        </w:tabs>
        <w:ind w:left="704"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58"/>
    <w:rsid w:val="00085641"/>
    <w:rsid w:val="00124E87"/>
    <w:rsid w:val="00145256"/>
    <w:rsid w:val="00234627"/>
    <w:rsid w:val="00262F8C"/>
    <w:rsid w:val="002C6D4F"/>
    <w:rsid w:val="002E3831"/>
    <w:rsid w:val="00303D7F"/>
    <w:rsid w:val="00320631"/>
    <w:rsid w:val="00357ACD"/>
    <w:rsid w:val="003A6548"/>
    <w:rsid w:val="003D57A0"/>
    <w:rsid w:val="003E2AC0"/>
    <w:rsid w:val="004A6C14"/>
    <w:rsid w:val="006100A0"/>
    <w:rsid w:val="00741405"/>
    <w:rsid w:val="007D7B7F"/>
    <w:rsid w:val="0083485C"/>
    <w:rsid w:val="008854AA"/>
    <w:rsid w:val="008E4733"/>
    <w:rsid w:val="00923058"/>
    <w:rsid w:val="00A31434"/>
    <w:rsid w:val="00A71BE2"/>
    <w:rsid w:val="00C453DB"/>
    <w:rsid w:val="00C70C02"/>
    <w:rsid w:val="00C928F8"/>
    <w:rsid w:val="00CB6350"/>
    <w:rsid w:val="00CE183D"/>
    <w:rsid w:val="00D1635C"/>
    <w:rsid w:val="00EA1E53"/>
    <w:rsid w:val="00EB286D"/>
    <w:rsid w:val="00EE71C8"/>
    <w:rsid w:val="03101320"/>
    <w:rsid w:val="06EC592A"/>
    <w:rsid w:val="09FC6F83"/>
    <w:rsid w:val="0AE53658"/>
    <w:rsid w:val="110B6D45"/>
    <w:rsid w:val="11A60FBE"/>
    <w:rsid w:val="168A2964"/>
    <w:rsid w:val="17820677"/>
    <w:rsid w:val="18F57A0F"/>
    <w:rsid w:val="1BDD13FB"/>
    <w:rsid w:val="239D0367"/>
    <w:rsid w:val="24677E8A"/>
    <w:rsid w:val="2482227A"/>
    <w:rsid w:val="26212AE1"/>
    <w:rsid w:val="2A234631"/>
    <w:rsid w:val="2C410F1A"/>
    <w:rsid w:val="2E78204D"/>
    <w:rsid w:val="314A7A62"/>
    <w:rsid w:val="360020EF"/>
    <w:rsid w:val="395E0114"/>
    <w:rsid w:val="3B5458D5"/>
    <w:rsid w:val="3F771ACA"/>
    <w:rsid w:val="3FE945E8"/>
    <w:rsid w:val="40221D7F"/>
    <w:rsid w:val="41273B19"/>
    <w:rsid w:val="41AE15A9"/>
    <w:rsid w:val="44C34A5F"/>
    <w:rsid w:val="450247B2"/>
    <w:rsid w:val="479A0EAF"/>
    <w:rsid w:val="4B5B0A05"/>
    <w:rsid w:val="4C1759A0"/>
    <w:rsid w:val="4CFC53F2"/>
    <w:rsid w:val="5CAC3792"/>
    <w:rsid w:val="60C155AB"/>
    <w:rsid w:val="61720E31"/>
    <w:rsid w:val="62AE08C3"/>
    <w:rsid w:val="669051F0"/>
    <w:rsid w:val="699F7133"/>
    <w:rsid w:val="73771C4D"/>
    <w:rsid w:val="7ABA4592"/>
    <w:rsid w:val="7DA465CB"/>
    <w:rsid w:val="7EF5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19"/>
    <w:qFormat/>
    <w:uiPriority w:val="99"/>
    <w:pPr>
      <w:outlineLvl w:val="0"/>
    </w:pPr>
  </w:style>
  <w:style w:type="paragraph" w:styleId="4">
    <w:name w:val="heading 3"/>
    <w:basedOn w:val="1"/>
    <w:next w:val="1"/>
    <w:link w:val="18"/>
    <w:qFormat/>
    <w:uiPriority w:val="9"/>
    <w:pPr>
      <w:outlineLvl w:val="2"/>
    </w:pPr>
  </w:style>
  <w:style w:type="paragraph" w:styleId="5">
    <w:name w:val="heading 4"/>
    <w:basedOn w:val="1"/>
    <w:next w:val="1"/>
    <w:link w:val="2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tabs>
        <w:tab w:val="left" w:pos="1008"/>
      </w:tabs>
      <w:autoSpaceDE/>
      <w:autoSpaceDN/>
      <w:adjustRightInd/>
      <w:spacing w:before="280" w:after="290" w:line="374" w:lineRule="auto"/>
      <w:ind w:left="1008" w:hanging="1008"/>
      <w:outlineLvl w:val="4"/>
    </w:pPr>
    <w:rPr>
      <w:rFonts w:ascii="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7">
    <w:name w:val="Normal Indent"/>
    <w:basedOn w:val="1"/>
    <w:qFormat/>
    <w:uiPriority w:val="0"/>
    <w:pPr>
      <w:widowControl/>
      <w:autoSpaceDE/>
      <w:autoSpaceDN/>
      <w:adjustRightInd/>
      <w:ind w:firstLine="420" w:firstLineChars="200"/>
    </w:pPr>
    <w:rPr>
      <w:rFonts w:ascii="Times New Roman"/>
      <w:sz w:val="20"/>
      <w:szCs w:val="20"/>
    </w:rPr>
  </w:style>
  <w:style w:type="paragraph" w:styleId="8">
    <w:name w:val="annotation text"/>
    <w:basedOn w:val="1"/>
    <w:qFormat/>
    <w:uiPriority w:val="99"/>
    <w:pPr>
      <w:widowControl/>
      <w:autoSpaceDE/>
      <w:autoSpaceDN/>
      <w:adjustRightInd/>
    </w:pPr>
    <w:rPr>
      <w:rFonts w:ascii="Times New Roman"/>
      <w:sz w:val="21"/>
      <w:szCs w:val="20"/>
    </w:rPr>
  </w:style>
  <w:style w:type="paragraph" w:styleId="9">
    <w:name w:val="Body Text"/>
    <w:basedOn w:val="1"/>
    <w:qFormat/>
    <w:uiPriority w:val="99"/>
    <w:pPr>
      <w:tabs>
        <w:tab w:val="left" w:pos="562"/>
        <w:tab w:val="left" w:pos="3372"/>
        <w:tab w:val="left" w:pos="3653"/>
      </w:tabs>
    </w:pPr>
    <w:rPr>
      <w:szCs w:val="21"/>
    </w:rPr>
  </w:style>
  <w:style w:type="paragraph" w:styleId="10">
    <w:name w:val="footer"/>
    <w:basedOn w:val="1"/>
    <w:link w:val="28"/>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1"/>
    <w:unhideWhenUsed/>
    <w:qFormat/>
    <w:uiPriority w:val="99"/>
    <w:pPr>
      <w:autoSpaceDE/>
      <w:autoSpaceDN/>
      <w:adjustRightInd/>
      <w:snapToGrid w:val="0"/>
      <w:spacing w:line="360" w:lineRule="auto"/>
      <w:ind w:firstLine="200" w:firstLineChars="200"/>
    </w:pPr>
    <w:rPr>
      <w:rFonts w:asciiTheme="minorHAnsi" w:hAnsiTheme="minorHAnsi" w:eastAsiaTheme="minorEastAsia" w:cstheme="minorBidi"/>
      <w:kern w:val="2"/>
      <w:sz w:val="18"/>
      <w:szCs w:val="18"/>
    </w:rPr>
  </w:style>
  <w:style w:type="paragraph" w:styleId="13">
    <w:name w:val="Normal (Web)"/>
    <w:basedOn w:val="1"/>
    <w:qFormat/>
    <w:uiPriority w:val="0"/>
    <w:pPr>
      <w:widowControl/>
      <w:autoSpaceDE/>
      <w:autoSpaceDN/>
      <w:adjustRightInd/>
      <w:spacing w:before="100" w:beforeAutospacing="1" w:after="100" w:afterAutospacing="1"/>
    </w:pPr>
    <w:rPr>
      <w:rFonts w:hAnsi="宋体"/>
      <w:sz w:val="15"/>
      <w:szCs w:val="15"/>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qFormat/>
    <w:uiPriority w:val="0"/>
    <w:rPr>
      <w:sz w:val="21"/>
      <w:szCs w:val="21"/>
    </w:rPr>
  </w:style>
  <w:style w:type="character" w:customStyle="1" w:styleId="18">
    <w:name w:val="标题 3 Char"/>
    <w:basedOn w:val="16"/>
    <w:link w:val="4"/>
    <w:qFormat/>
    <w:uiPriority w:val="9"/>
    <w:rPr>
      <w:rFonts w:ascii="宋体" w:hAnsi="Times New Roman" w:eastAsia="宋体" w:cs="Times New Roman"/>
      <w:kern w:val="0"/>
      <w:sz w:val="24"/>
      <w:szCs w:val="24"/>
    </w:rPr>
  </w:style>
  <w:style w:type="character" w:customStyle="1" w:styleId="19">
    <w:name w:val="标题 1 Char"/>
    <w:basedOn w:val="16"/>
    <w:link w:val="3"/>
    <w:qFormat/>
    <w:uiPriority w:val="99"/>
    <w:rPr>
      <w:rFonts w:ascii="宋体" w:hAnsi="Times New Roman" w:eastAsia="宋体" w:cs="Times New Roman"/>
      <w:kern w:val="0"/>
      <w:sz w:val="24"/>
      <w:szCs w:val="24"/>
    </w:rPr>
  </w:style>
  <w:style w:type="character" w:customStyle="1" w:styleId="20">
    <w:name w:val="标题 4 Char"/>
    <w:basedOn w:val="16"/>
    <w:link w:val="5"/>
    <w:qFormat/>
    <w:uiPriority w:val="0"/>
    <w:rPr>
      <w:rFonts w:ascii="Arial" w:hAnsi="Arial" w:eastAsia="黑体" w:cs="Times New Roman"/>
      <w:b/>
      <w:bCs/>
      <w:kern w:val="0"/>
      <w:sz w:val="28"/>
      <w:szCs w:val="28"/>
    </w:rPr>
  </w:style>
  <w:style w:type="character" w:customStyle="1" w:styleId="21">
    <w:name w:val="脚注文本 Char"/>
    <w:link w:val="12"/>
    <w:qFormat/>
    <w:uiPriority w:val="99"/>
    <w:rPr>
      <w:sz w:val="18"/>
      <w:szCs w:val="18"/>
    </w:rPr>
  </w:style>
  <w:style w:type="character" w:customStyle="1" w:styleId="22">
    <w:name w:val="列出段落 Char"/>
    <w:link w:val="23"/>
    <w:qFormat/>
    <w:uiPriority w:val="0"/>
    <w:rPr>
      <w:rFonts w:eastAsia="宋体"/>
      <w:szCs w:val="24"/>
    </w:rPr>
  </w:style>
  <w:style w:type="paragraph" w:styleId="23">
    <w:name w:val="List Paragraph"/>
    <w:basedOn w:val="1"/>
    <w:link w:val="22"/>
    <w:qFormat/>
    <w:uiPriority w:val="0"/>
    <w:pPr>
      <w:autoSpaceDE/>
      <w:autoSpaceDN/>
      <w:adjustRightInd/>
      <w:spacing w:line="460" w:lineRule="exact"/>
      <w:ind w:firstLine="420" w:firstLineChars="200"/>
      <w:jc w:val="both"/>
    </w:pPr>
    <w:rPr>
      <w:rFonts w:asciiTheme="minorHAnsi" w:hAnsiTheme="minorHAnsi" w:cstheme="minorBidi"/>
      <w:kern w:val="2"/>
      <w:sz w:val="21"/>
    </w:rPr>
  </w:style>
  <w:style w:type="character" w:customStyle="1" w:styleId="24">
    <w:name w:val="脚注文本 Char1"/>
    <w:basedOn w:val="16"/>
    <w:semiHidden/>
    <w:qFormat/>
    <w:uiPriority w:val="99"/>
    <w:rPr>
      <w:rFonts w:ascii="宋体" w:hAnsi="Times New Roman" w:eastAsia="宋体" w:cs="Times New Roman"/>
      <w:kern w:val="0"/>
      <w:sz w:val="18"/>
      <w:szCs w:val="18"/>
    </w:rPr>
  </w:style>
  <w:style w:type="paragraph" w:customStyle="1" w:styleId="25">
    <w:name w:val="[Normal]"/>
    <w:qFormat/>
    <w:uiPriority w:val="0"/>
    <w:rPr>
      <w:rFonts w:ascii="宋体" w:hAnsi="宋体" w:eastAsia="宋体" w:cs="Times New Roman"/>
      <w:sz w:val="24"/>
      <w:szCs w:val="22"/>
      <w:lang w:val="en-US" w:eastAsia="en-US" w:bidi="ar-SA"/>
    </w:rPr>
  </w:style>
  <w:style w:type="paragraph" w:customStyle="1" w:styleId="26">
    <w:name w:val="列出段落6"/>
    <w:basedOn w:val="1"/>
    <w:qFormat/>
    <w:uiPriority w:val="34"/>
    <w:pPr>
      <w:autoSpaceDE/>
      <w:autoSpaceDN/>
      <w:adjustRightInd/>
      <w:spacing w:line="460" w:lineRule="exact"/>
      <w:ind w:firstLine="420" w:firstLineChars="200"/>
      <w:jc w:val="both"/>
    </w:pPr>
    <w:rPr>
      <w:rFonts w:ascii="Calibri" w:hAnsi="Calibri" w:cs="黑体"/>
      <w:kern w:val="2"/>
      <w:sz w:val="21"/>
    </w:rPr>
  </w:style>
  <w:style w:type="character" w:customStyle="1" w:styleId="27">
    <w:name w:val="页眉 Char"/>
    <w:basedOn w:val="16"/>
    <w:link w:val="11"/>
    <w:qFormat/>
    <w:uiPriority w:val="99"/>
    <w:rPr>
      <w:rFonts w:ascii="宋体" w:hAnsi="Times New Roman" w:eastAsia="宋体" w:cs="Times New Roman"/>
      <w:kern w:val="0"/>
      <w:sz w:val="18"/>
      <w:szCs w:val="18"/>
    </w:rPr>
  </w:style>
  <w:style w:type="character" w:customStyle="1" w:styleId="28">
    <w:name w:val="页脚 Char"/>
    <w:basedOn w:val="16"/>
    <w:link w:val="10"/>
    <w:qFormat/>
    <w:uiPriority w:val="99"/>
    <w:rPr>
      <w:rFonts w:ascii="宋体" w:hAnsi="Times New Roman" w:eastAsia="宋体" w:cs="Times New Roman"/>
      <w:kern w:val="0"/>
      <w:sz w:val="18"/>
      <w:szCs w:val="18"/>
    </w:rPr>
  </w:style>
  <w:style w:type="paragraph" w:customStyle="1" w:styleId="29">
    <w:name w:val="表1"/>
    <w:qFormat/>
    <w:uiPriority w:val="0"/>
    <w:pPr>
      <w:widowControl w:val="0"/>
      <w:tabs>
        <w:tab w:val="left" w:pos="420"/>
        <w:tab w:val="left" w:pos="990"/>
      </w:tabs>
      <w:spacing w:before="20" w:after="20" w:line="200" w:lineRule="exact"/>
    </w:pPr>
    <w:rPr>
      <w:rFonts w:ascii="Times New Roman" w:hAnsi="Times New Roman" w:eastAsia="宋体" w:cs="Times New Roman"/>
      <w:spacing w:val="20"/>
      <w:sz w:val="21"/>
      <w:szCs w:val="21"/>
      <w:lang w:val="en-US" w:eastAsia="zh-CN" w:bidi="ar-SA"/>
    </w:rPr>
  </w:style>
  <w:style w:type="paragraph" w:customStyle="1" w:styleId="30">
    <w:name w:val="Table Paragraph"/>
    <w:basedOn w:val="1"/>
    <w:qFormat/>
    <w:uiPriority w:val="0"/>
    <w:pPr>
      <w:adjustRightInd/>
    </w:pPr>
    <w:rPr>
      <w:rFonts w:hAnsi="宋体" w:cs="宋体"/>
      <w:sz w:val="22"/>
      <w:szCs w:val="22"/>
    </w:rPr>
  </w:style>
  <w:style w:type="paragraph" w:customStyle="1" w:styleId="31">
    <w:name w:val="null3"/>
    <w:hidden/>
    <w:qFormat/>
    <w:uiPriority w:val="0"/>
    <w:rPr>
      <w:rFonts w:hint="eastAsia" w:asciiTheme="minorHAnsi" w:hAnsiTheme="minorHAnsi" w:eastAsiaTheme="minorEastAsia" w:cstheme="minorBidi"/>
      <w:lang w:val="en-US" w:eastAsia="zh-Hans"/>
    </w:rPr>
  </w:style>
  <w:style w:type="character" w:customStyle="1" w:styleId="32">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752</Words>
  <Characters>837</Characters>
  <Lines>10</Lines>
  <Paragraphs>2</Paragraphs>
  <TotalTime>8</TotalTime>
  <ScaleCrop>false</ScaleCrop>
  <LinksUpToDate>false</LinksUpToDate>
  <CharactersWithSpaces>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2021-07-09T04:10:00Z</dcterms:created>
  <dc:creator>Sky123.Org</dc:creator>
  <cp:lastModifiedBy>GZGK--HMW</cp:lastModifiedBy>
  <cp:lastPrinted>2021-07-05T03:23:00Z</cp:lastPrinted>
  <dcterms:modified xsi:type="dcterms:W3CDTF">2025-06-25T07:44:22Z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DF4E00E7BC6D4EEFAD6E2B3284CBC8AC_13</vt:lpwstr>
  </property>
  <property fmtid="{D5CDD505-2E9C-101B-9397-08002B2CF9AE}" pid="4" name="KSOTemplateDocerSaveRecord">
    <vt:lpwstr>eyJoZGlkIjoiN2YzNjBkOTgyNWQ1YTMxYzM3MzMwNWFiODNmOWIzYWMiLCJ1c2VySWQiOiIxNDgzNTI4NDAxIn0=</vt:lpwstr>
  </property>
</Properties>
</file>