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heme="minorEastAsia" w:hAnsiTheme="minorEastAsia"/>
          <w:b/>
          <w:sz w:val="32"/>
          <w:szCs w:val="32"/>
          <w:lang w:val="en-US" w:eastAsia="zh-CN"/>
        </w:rPr>
      </w:pPr>
      <w:r>
        <w:rPr>
          <w:rFonts w:hint="eastAsia" w:asciiTheme="minorEastAsia" w:hAnsiTheme="minorEastAsia"/>
          <w:b/>
          <w:sz w:val="32"/>
          <w:szCs w:val="32"/>
        </w:rPr>
        <w:t>广东省监狱中心医院网络安全服务（2026年）</w:t>
      </w:r>
    </w:p>
    <w:p>
      <w:pPr>
        <w:jc w:val="center"/>
        <w:rPr>
          <w:rFonts w:hint="eastAsia" w:asciiTheme="minorEastAsia" w:hAnsiTheme="minorEastAsia"/>
          <w:b/>
          <w:sz w:val="32"/>
          <w:szCs w:val="32"/>
        </w:rPr>
      </w:pPr>
      <w:r>
        <w:rPr>
          <w:rFonts w:hint="eastAsia" w:asciiTheme="minorEastAsia" w:hAnsiTheme="minorEastAsia"/>
          <w:b/>
          <w:sz w:val="32"/>
          <w:szCs w:val="32"/>
        </w:rPr>
        <w:t>项目报价单</w:t>
      </w:r>
    </w:p>
    <w:p>
      <w:pPr>
        <w:pStyle w:val="2"/>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 1 年服务期，以下费用包含人员驻场费及本方案涉及的所有费用：</w:t>
      </w:r>
    </w:p>
    <w:tbl>
      <w:tblPr>
        <w:tblStyle w:val="7"/>
        <w:tblW w:w="80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260"/>
        <w:gridCol w:w="4946"/>
        <w:gridCol w:w="11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704" w:type="dxa"/>
            <w:shd w:val="clear" w:color="auto" w:fill="FFFFFF"/>
            <w:vAlign w:val="center"/>
          </w:tcPr>
          <w:p>
            <w:pPr>
              <w:keepNext w:val="0"/>
              <w:keepLines w:val="0"/>
              <w:pageBreakBefore w:val="0"/>
              <w:kinsoku/>
              <w:wordWrap/>
              <w:overflowPunct/>
              <w:topLinePunct w:val="0"/>
              <w:autoSpaceDE/>
              <w:autoSpaceDN/>
              <w:bidi w:val="0"/>
              <w:ind w:left="0"/>
              <w:jc w:val="center"/>
              <w:textAlignment w:val="auto"/>
              <w:rPr>
                <w:rFonts w:hint="eastAsia" w:ascii="宋体" w:hAnsi="宋体" w:cs="宋体"/>
                <w:b/>
                <w:bCs/>
                <w:sz w:val="20"/>
                <w:szCs w:val="20"/>
                <w:highlight w:val="none"/>
                <w:lang w:bidi="ar"/>
              </w:rPr>
            </w:pPr>
            <w:bookmarkStart w:id="0" w:name="_GoBack"/>
            <w:r>
              <w:rPr>
                <w:rFonts w:hint="eastAsia" w:ascii="宋体" w:hAnsi="宋体" w:cs="宋体"/>
                <w:b/>
                <w:bCs/>
                <w:sz w:val="20"/>
                <w:szCs w:val="20"/>
                <w:highlight w:val="none"/>
                <w:lang w:bidi="ar"/>
              </w:rPr>
              <w:t>序号</w:t>
            </w:r>
          </w:p>
        </w:tc>
        <w:tc>
          <w:tcPr>
            <w:tcW w:w="1260" w:type="dxa"/>
            <w:shd w:val="clear" w:color="auto" w:fill="FFFFFF"/>
            <w:vAlign w:val="center"/>
          </w:tcPr>
          <w:p>
            <w:pPr>
              <w:keepNext w:val="0"/>
              <w:keepLines w:val="0"/>
              <w:pageBreakBefore w:val="0"/>
              <w:kinsoku/>
              <w:wordWrap/>
              <w:overflowPunct/>
              <w:topLinePunct w:val="0"/>
              <w:autoSpaceDE/>
              <w:autoSpaceDN/>
              <w:bidi w:val="0"/>
              <w:ind w:left="0"/>
              <w:textAlignment w:val="auto"/>
              <w:rPr>
                <w:rFonts w:hint="eastAsia" w:ascii="宋体" w:hAnsi="宋体" w:cs="宋体"/>
                <w:b/>
                <w:bCs/>
                <w:sz w:val="20"/>
                <w:szCs w:val="20"/>
                <w:highlight w:val="none"/>
              </w:rPr>
            </w:pPr>
            <w:r>
              <w:rPr>
                <w:rFonts w:hint="eastAsia" w:ascii="宋体" w:hAnsi="宋体" w:cs="宋体"/>
                <w:b/>
                <w:bCs/>
                <w:sz w:val="20"/>
                <w:szCs w:val="20"/>
                <w:highlight w:val="none"/>
                <w:lang w:bidi="ar"/>
              </w:rPr>
              <w:t>服务名称</w:t>
            </w:r>
          </w:p>
        </w:tc>
        <w:tc>
          <w:tcPr>
            <w:tcW w:w="4946" w:type="dxa"/>
            <w:shd w:val="clear" w:color="auto" w:fill="FFFFFF"/>
            <w:vAlign w:val="center"/>
          </w:tcPr>
          <w:p>
            <w:pPr>
              <w:keepNext w:val="0"/>
              <w:keepLines w:val="0"/>
              <w:pageBreakBefore w:val="0"/>
              <w:kinsoku/>
              <w:wordWrap/>
              <w:overflowPunct/>
              <w:topLinePunct w:val="0"/>
              <w:autoSpaceDE/>
              <w:autoSpaceDN/>
              <w:bidi w:val="0"/>
              <w:ind w:left="0"/>
              <w:jc w:val="center"/>
              <w:textAlignment w:val="auto"/>
              <w:rPr>
                <w:rFonts w:hint="eastAsia" w:ascii="宋体" w:hAnsi="宋体" w:cs="宋体"/>
                <w:b/>
                <w:bCs/>
                <w:sz w:val="20"/>
                <w:szCs w:val="20"/>
                <w:highlight w:val="none"/>
              </w:rPr>
            </w:pPr>
            <w:r>
              <w:rPr>
                <w:rFonts w:hint="eastAsia" w:ascii="宋体" w:hAnsi="宋体" w:cs="宋体"/>
                <w:b/>
                <w:bCs/>
                <w:sz w:val="20"/>
                <w:szCs w:val="20"/>
                <w:highlight w:val="none"/>
                <w:lang w:bidi="ar"/>
              </w:rPr>
              <w:t>服务内容及交付物</w:t>
            </w:r>
          </w:p>
        </w:tc>
        <w:tc>
          <w:tcPr>
            <w:tcW w:w="1175" w:type="dxa"/>
            <w:shd w:val="clear" w:color="auto" w:fill="FFFFFF"/>
            <w:vAlign w:val="center"/>
          </w:tcPr>
          <w:p>
            <w:pPr>
              <w:keepNext w:val="0"/>
              <w:keepLines w:val="0"/>
              <w:pageBreakBefore w:val="0"/>
              <w:kinsoku/>
              <w:wordWrap/>
              <w:overflowPunct/>
              <w:topLinePunct w:val="0"/>
              <w:autoSpaceDE/>
              <w:autoSpaceDN/>
              <w:bidi w:val="0"/>
              <w:ind w:left="0"/>
              <w:jc w:val="center"/>
              <w:textAlignment w:val="auto"/>
              <w:rPr>
                <w:rFonts w:hint="default" w:ascii="宋体" w:hAnsi="宋体" w:cs="宋体" w:eastAsiaTheme="minorEastAsia"/>
                <w:b/>
                <w:bCs/>
                <w:sz w:val="20"/>
                <w:szCs w:val="20"/>
                <w:highlight w:val="none"/>
                <w:lang w:val="en-US" w:eastAsia="zh-CN" w:bidi="ar"/>
              </w:rPr>
            </w:pPr>
            <w:r>
              <w:rPr>
                <w:rFonts w:hint="eastAsia" w:ascii="宋体" w:hAnsi="宋体" w:cs="宋体"/>
                <w:b/>
                <w:bCs/>
                <w:sz w:val="20"/>
                <w:szCs w:val="20"/>
                <w:highlight w:val="none"/>
                <w:lang w:val="en-US" w:eastAsia="zh-CN" w:bidi="ar"/>
              </w:rPr>
              <w:t>服务单价（含税）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互联网资产暴露面评估</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基于网络扫描、搜索引擎、互联网基础数据引擎主动探测采购人在互联网上暴露的资产，形成明确的资产清单，帮助采购人发现未知及梳理互联网资产。</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采用WEB扫描技术、操作系统探测技术、端口的探测技术、服务探测技术等技术，发现并生成互联网资产及应用清单，清单中需包括设备类型、域名、IP、端口，以及识别资产上的中间件、应用、技术架构的详细情况（类型、版本、服务名称等）。</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服务频次：1年2次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服务交付物（按服务频次提供）：《互联网资产发现报告》《互联网资产清单》。</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2</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对外业务边界梳理</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对目标系统相关的网络访问路径进行梳理，明确系统访问源（包括用户、设备或系统）的类型、位置和</w:t>
            </w:r>
            <w:r>
              <w:rPr>
                <w:rFonts w:ascii="宋体" w:hAnsi="宋体" w:cs="宋体"/>
                <w:sz w:val="20"/>
                <w:szCs w:val="20"/>
                <w:highlight w:val="none"/>
                <w:lang w:bidi="ar"/>
              </w:rPr>
              <w:t>途经</w:t>
            </w:r>
            <w:r>
              <w:rPr>
                <w:rFonts w:hint="eastAsia" w:ascii="宋体" w:hAnsi="宋体" w:cs="宋体"/>
                <w:sz w:val="20"/>
                <w:szCs w:val="20"/>
                <w:highlight w:val="none"/>
                <w:lang w:bidi="ar"/>
              </w:rPr>
              <w:t>的网络节点，绘制准确的网络路径图。网络路径梳理须明确从互联网访问的路径、内部访问路径等，全面梳理目标系统可能被访问到的路径和数据流向，为后续有针对性的网络安全防护和监控点部署奠定基础。</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服务频次：1年2次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服务交付物（按服务频次提供）：《网络拓扑图》《网络路径图》</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eastAsia="宋体" w:cs="宋体"/>
                <w:sz w:val="20"/>
                <w:szCs w:val="20"/>
                <w:highlight w:val="none"/>
                <w:lang w:bidi="ar"/>
              </w:rPr>
            </w:pPr>
            <w:r>
              <w:rPr>
                <w:rFonts w:hint="eastAsia" w:ascii="宋体" w:hAnsi="宋体" w:cs="宋体"/>
                <w:sz w:val="20"/>
                <w:szCs w:val="20"/>
                <w:highlight w:val="none"/>
                <w:lang w:bidi="ar"/>
              </w:rPr>
              <w:t>3</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eastAsia="zh-CN" w:bidi="ar"/>
              </w:rPr>
              <w:t>系统漏洞扫描与分析</w:t>
            </w:r>
          </w:p>
        </w:tc>
        <w:tc>
          <w:tcPr>
            <w:tcW w:w="4946" w:type="dxa"/>
            <w:shd w:val="clear" w:color="auto" w:fill="FFFFFF"/>
            <w:vAlign w:val="top"/>
          </w:tcPr>
          <w:p>
            <w:pPr>
              <w:pStyle w:val="11"/>
              <w:keepNext w:val="0"/>
              <w:keepLines w:val="0"/>
              <w:pageBreakBefore w:val="0"/>
              <w:kinsoku/>
              <w:wordWrap/>
              <w:overflowPunct/>
              <w:topLinePunct w:val="0"/>
              <w:autoSpaceDE/>
              <w:autoSpaceDN/>
              <w:bidi w:val="0"/>
              <w:ind w:left="0"/>
              <w:jc w:val="both"/>
              <w:textAlignment w:val="auto"/>
              <w:rPr>
                <w:rFonts w:hint="default" w:ascii="宋体" w:hAnsi="宋体" w:cs="宋体"/>
                <w:color w:val="000000" w:themeColor="text1"/>
                <w:highlight w:val="none"/>
                <w:lang w:val="en-US" w:eastAsia="zh-CN"/>
                <w14:textFill>
                  <w14:solidFill>
                    <w14:schemeClr w14:val="tx1"/>
                  </w14:solidFill>
                </w14:textFill>
              </w:rPr>
            </w:pPr>
            <w:r>
              <w:rPr>
                <w:rFonts w:ascii="宋体" w:hAnsi="宋体" w:cs="宋体"/>
                <w:highlight w:val="none"/>
              </w:rPr>
              <w:t>采用</w:t>
            </w:r>
            <w:r>
              <w:rPr>
                <w:rFonts w:hint="eastAsia" w:ascii="宋体" w:hAnsi="宋体" w:cs="宋体"/>
                <w:highlight w:val="none"/>
                <w:lang w:eastAsia="zh-CN"/>
              </w:rPr>
              <w:t>现场漏洞扫描</w:t>
            </w:r>
            <w:r>
              <w:rPr>
                <w:rFonts w:ascii="宋体" w:hAnsi="宋体" w:cs="宋体"/>
                <w:highlight w:val="none"/>
              </w:rPr>
              <w:t>，通过定制的扫描规则，形成安全扫描策略文档，对服务器、网络设备、安全设备等进行自动化安全扫描，及时发现信息系统中存在的安全漏洞，并通过人工验证扫描结果并输出安全扫描报告及修复建议，协助</w:t>
            </w:r>
            <w:r>
              <w:rPr>
                <w:rFonts w:ascii="宋体" w:hAnsi="宋体" w:cs="宋体"/>
                <w:color w:val="000000" w:themeColor="text1"/>
                <w:highlight w:val="none"/>
                <w14:textFill>
                  <w14:solidFill>
                    <w14:schemeClr w14:val="tx1"/>
                  </w14:solidFill>
                </w14:textFill>
              </w:rPr>
              <w:t>系统厂商完成系统安全风险整改并提供相关安全加固工具。</w:t>
            </w:r>
            <w:r>
              <w:rPr>
                <w:rFonts w:hint="eastAsia" w:ascii="宋体" w:hAnsi="宋体" w:cs="宋体"/>
                <w:color w:val="000000" w:themeColor="text1"/>
                <w:highlight w:val="none"/>
                <w:lang w:val="en-US" w:eastAsia="zh-CN"/>
                <w14:textFill>
                  <w14:solidFill>
                    <w14:schemeClr w14:val="tx1"/>
                  </w14:solidFill>
                </w14:textFill>
              </w:rPr>
              <w:t>（共10个系统：HIS系统、LIS系统、PACS系统、监护系统、宇视视频监控系统、电视信息综合服务平台、会见系统、智能安防管理平台、内网网站系统、挂缴查下程序）</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服务频次：1年</w:t>
            </w:r>
            <w:r>
              <w:rPr>
                <w:rFonts w:hint="eastAsia" w:ascii="宋体" w:hAnsi="宋体" w:cs="宋体"/>
                <w:sz w:val="20"/>
                <w:szCs w:val="20"/>
                <w:highlight w:val="none"/>
                <w:lang w:val="en-US" w:eastAsia="zh-CN" w:bidi="ar"/>
              </w:rPr>
              <w:t>2</w:t>
            </w:r>
            <w:r>
              <w:rPr>
                <w:rFonts w:hint="eastAsia" w:ascii="宋体" w:hAnsi="宋体" w:cs="宋体"/>
                <w:sz w:val="20"/>
                <w:szCs w:val="20"/>
                <w:highlight w:val="none"/>
                <w:lang w:bidi="ar"/>
              </w:rPr>
              <w:t>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w:t>
            </w:r>
            <w:r>
              <w:rPr>
                <w:rFonts w:hint="eastAsia" w:ascii="宋体" w:hAnsi="宋体" w:cs="宋体"/>
                <w:sz w:val="20"/>
                <w:szCs w:val="20"/>
                <w:highlight w:val="none"/>
                <w:lang w:eastAsia="zh-CN"/>
              </w:rPr>
              <w:t>漏洞扫描</w:t>
            </w:r>
            <w:r>
              <w:rPr>
                <w:rFonts w:hint="eastAsia" w:ascii="宋体" w:hAnsi="宋体" w:cs="宋体"/>
                <w:sz w:val="20"/>
                <w:szCs w:val="20"/>
                <w:highlight w:val="none"/>
              </w:rPr>
              <w:t>安全评估报告》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4</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应用系统安全评估</w:t>
            </w:r>
          </w:p>
        </w:tc>
        <w:tc>
          <w:tcPr>
            <w:tcW w:w="4946" w:type="dxa"/>
            <w:shd w:val="clear" w:color="auto" w:fill="FFFFFF"/>
            <w:vAlign w:val="top"/>
          </w:tcPr>
          <w:p>
            <w:pPr>
              <w:pStyle w:val="11"/>
              <w:keepNext w:val="0"/>
              <w:keepLines w:val="0"/>
              <w:pageBreakBefore w:val="0"/>
              <w:kinsoku/>
              <w:wordWrap/>
              <w:overflowPunct/>
              <w:topLinePunct w:val="0"/>
              <w:autoSpaceDE/>
              <w:autoSpaceDN/>
              <w:bidi w:val="0"/>
              <w:ind w:left="0"/>
              <w:jc w:val="both"/>
              <w:textAlignment w:val="auto"/>
              <w:rPr>
                <w:rFonts w:ascii="宋体" w:hAnsi="宋体" w:cs="宋体"/>
                <w:highlight w:val="none"/>
              </w:rPr>
            </w:pPr>
            <w:r>
              <w:rPr>
                <w:rFonts w:ascii="宋体" w:hAnsi="宋体" w:cs="宋体"/>
                <w:highlight w:val="none"/>
              </w:rPr>
              <w:t>在正式授权和监督下，对指定的敏感区域和业务系统采用黑盒结合灰盒方式和利用已知漏洞信息开展</w:t>
            </w:r>
            <w:r>
              <w:rPr>
                <w:rFonts w:ascii="宋体" w:hAnsi="宋体" w:cs="宋体"/>
                <w:highlight w:val="none"/>
                <w:lang w:eastAsia="zh-CN"/>
              </w:rPr>
              <w:t>安全评估</w:t>
            </w:r>
            <w:r>
              <w:rPr>
                <w:rFonts w:ascii="宋体" w:hAnsi="宋体" w:cs="宋体"/>
                <w:highlight w:val="none"/>
              </w:rPr>
              <w:t>且重点关注弱口令、远程访问控制、SQL注入漏洞、逻辑缺陷、上传绕过、输入输出校验绕过、数据篡改、功能绕过、异常错误等问题，发现漏洞不进行破坏，并协助</w:t>
            </w:r>
            <w:r>
              <w:rPr>
                <w:rFonts w:ascii="宋体" w:hAnsi="宋体" w:cs="宋体"/>
                <w:highlight w:val="none"/>
                <w:lang w:eastAsia="zh-CN"/>
              </w:rPr>
              <w:t>采购人</w:t>
            </w:r>
            <w:r>
              <w:rPr>
                <w:rFonts w:ascii="宋体" w:hAnsi="宋体" w:cs="宋体"/>
                <w:highlight w:val="none"/>
              </w:rPr>
              <w:t>进行修复，修复后进行复测，以确认漏洞是否被完全修复。通过模拟黑客使用的工具、分析方法对网站进行安全测试，协助系统厂商完成系统安全风</w:t>
            </w:r>
            <w:r>
              <w:rPr>
                <w:rFonts w:hint="eastAsia" w:ascii="宋体" w:hAnsi="宋体" w:cs="宋体"/>
                <w:highlight w:val="none"/>
                <w:lang w:val="en-US" w:eastAsia="zh-CN"/>
              </w:rPr>
              <w:t>+</w:t>
            </w:r>
            <w:r>
              <w:rPr>
                <w:rFonts w:ascii="宋体" w:hAnsi="宋体" w:cs="宋体"/>
                <w:highlight w:val="none"/>
              </w:rPr>
              <w:t>险整改并提供相关安全加固工具。</w:t>
            </w:r>
          </w:p>
          <w:p>
            <w:pPr>
              <w:pStyle w:val="11"/>
              <w:keepNext w:val="0"/>
              <w:keepLines w:val="0"/>
              <w:pageBreakBefore w:val="0"/>
              <w:kinsoku/>
              <w:wordWrap/>
              <w:overflowPunct/>
              <w:topLinePunct w:val="0"/>
              <w:autoSpaceDE/>
              <w:autoSpaceDN/>
              <w:bidi w:val="0"/>
              <w:ind w:left="0"/>
              <w:jc w:val="both"/>
              <w:textAlignment w:val="auto"/>
              <w:rPr>
                <w:rFonts w:ascii="宋体" w:hAnsi="宋体" w:cs="宋体"/>
                <w:highlight w:val="none"/>
                <w:lang w:eastAsia="zh-CN"/>
              </w:rPr>
            </w:pPr>
            <w:r>
              <w:rPr>
                <w:rFonts w:ascii="宋体" w:hAnsi="宋体" w:cs="宋体"/>
                <w:highlight w:val="none"/>
                <w:lang w:eastAsia="zh-CN"/>
              </w:rPr>
              <w:t>服务频次：对</w:t>
            </w:r>
            <w:r>
              <w:rPr>
                <w:rFonts w:hint="eastAsia" w:ascii="宋体" w:hAnsi="宋体" w:cs="宋体"/>
                <w:highlight w:val="none"/>
                <w:lang w:val="en-US" w:eastAsia="zh-CN"/>
              </w:rPr>
              <w:t>我院共10</w:t>
            </w:r>
            <w:r>
              <w:rPr>
                <w:rFonts w:ascii="宋体" w:hAnsi="宋体" w:cs="宋体"/>
                <w:highlight w:val="none"/>
                <w:lang w:eastAsia="zh-CN"/>
              </w:rPr>
              <w:t>个系统每年开展1次专业级应用系统安全评估</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rPr>
              <w:t>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：《XX系统应用系统安全评估报告》《应用系统安全评估问题跟踪台账》《XX系统风险问题处置加固报告》。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5</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安全加固服务</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default" w:ascii="宋体" w:hAnsi="宋体" w:cs="宋体" w:eastAsiaTheme="minorEastAsia"/>
                <w:color w:val="FF0000"/>
                <w:sz w:val="20"/>
                <w:szCs w:val="20"/>
                <w:highlight w:val="none"/>
                <w:lang w:val="en-US" w:eastAsia="zh-CN" w:bidi="ar"/>
              </w:rPr>
            </w:pPr>
            <w:r>
              <w:rPr>
                <w:rFonts w:hint="eastAsia" w:ascii="宋体" w:hAnsi="宋体" w:cs="宋体"/>
                <w:sz w:val="20"/>
                <w:szCs w:val="20"/>
                <w:highlight w:val="none"/>
                <w:lang w:bidi="ar"/>
              </w:rPr>
              <w:t>根据漏扫</w:t>
            </w:r>
            <w:r>
              <w:rPr>
                <w:rFonts w:hint="eastAsia" w:ascii="宋体" w:hAnsi="宋体" w:cs="宋体"/>
                <w:color w:val="000000" w:themeColor="text1"/>
                <w:sz w:val="20"/>
                <w:szCs w:val="20"/>
                <w:highlight w:val="none"/>
                <w:lang w:bidi="ar"/>
                <w14:textFill>
                  <w14:solidFill>
                    <w14:schemeClr w14:val="tx1"/>
                  </w14:solidFill>
                </w14:textFill>
              </w:rPr>
              <w:t>报告</w:t>
            </w:r>
            <w:r>
              <w:rPr>
                <w:rFonts w:hint="eastAsia" w:ascii="宋体" w:hAnsi="宋体" w:cs="宋体"/>
                <w:color w:val="000000" w:themeColor="text1"/>
                <w:sz w:val="20"/>
                <w:szCs w:val="20"/>
                <w:highlight w:val="none"/>
                <w:lang w:val="en-US" w:eastAsia="zh-CN" w:bidi="ar"/>
                <w14:textFill>
                  <w14:solidFill>
                    <w14:schemeClr w14:val="tx1"/>
                  </w14:solidFill>
                </w14:textFill>
              </w:rPr>
              <w:t>及上级部门发布的</w:t>
            </w:r>
            <w:r>
              <w:rPr>
                <w:rFonts w:hint="eastAsia" w:ascii="宋体" w:hAnsi="宋体" w:cs="宋体"/>
                <w:color w:val="000000" w:themeColor="text1"/>
                <w:sz w:val="20"/>
                <w:szCs w:val="20"/>
                <w:highlight w:val="none"/>
                <w:lang w:bidi="ar"/>
                <w14:textFill>
                  <w14:solidFill>
                    <w14:schemeClr w14:val="tx1"/>
                  </w14:solidFill>
                </w14:textFill>
              </w:rPr>
              <w:t>，对操作系统、</w:t>
            </w:r>
            <w:r>
              <w:rPr>
                <w:rFonts w:hint="eastAsia" w:ascii="宋体" w:hAnsi="宋体" w:cs="宋体"/>
                <w:sz w:val="20"/>
                <w:szCs w:val="20"/>
                <w:highlight w:val="none"/>
                <w:lang w:bidi="ar"/>
              </w:rPr>
              <w:t>应用中间件、数据库增打补丁的需求，使打完补丁后的系统环境能够正常运作，发挥系统软件应有的功能。对除操作系统、应用中间件、数据库以外的业务系统应用程序的漏洞，出具安全整改报告，及时通知相关业务系统管理员，并协同各管理员、第三方软件开发商、第三方维护人员等共同制定整改计划，在整改过程中提供相应的技术指导。</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服务频次：按需</w:t>
            </w:r>
          </w:p>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服务交付物（按服务频次提供）：《安全加固报告》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eastAsia" w:ascii="宋体" w:hAnsi="宋体" w:cs="宋体" w:eastAsiaTheme="minorEastAsia"/>
                <w:kern w:val="2"/>
                <w:sz w:val="20"/>
                <w:szCs w:val="20"/>
                <w:highlight w:val="none"/>
                <w:lang w:val="en-US" w:eastAsia="zh-CN" w:bidi="ar"/>
              </w:rPr>
            </w:pPr>
            <w:r>
              <w:rPr>
                <w:rFonts w:hint="eastAsia" w:ascii="宋体" w:hAnsi="宋体" w:cs="宋体"/>
                <w:sz w:val="20"/>
                <w:szCs w:val="20"/>
                <w:highlight w:val="none"/>
                <w:lang w:val="en-US" w:eastAsia="zh-CN" w:bidi="ar"/>
              </w:rPr>
              <w:t>6</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eastAsiaTheme="minorEastAsia"/>
                <w:kern w:val="2"/>
                <w:sz w:val="20"/>
                <w:szCs w:val="20"/>
                <w:highlight w:val="none"/>
                <w:lang w:val="en-US" w:eastAsia="zh-CN" w:bidi="ar-SA"/>
              </w:rPr>
            </w:pPr>
            <w:r>
              <w:rPr>
                <w:rFonts w:hint="eastAsia" w:ascii="宋体" w:hAnsi="宋体" w:cs="宋体"/>
                <w:sz w:val="20"/>
                <w:szCs w:val="20"/>
                <w:highlight w:val="none"/>
                <w:lang w:bidi="ar"/>
              </w:rPr>
              <w:t>基线核查服务</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rPr>
            </w:pPr>
            <w:r>
              <w:rPr>
                <w:rFonts w:hint="eastAsia" w:ascii="宋体" w:hAnsi="宋体" w:cs="宋体"/>
                <w:sz w:val="20"/>
                <w:szCs w:val="20"/>
                <w:highlight w:val="none"/>
              </w:rPr>
              <w:t>根据既定的检查规范及方法，采用人工检查用表（checklist）、脚本程序或基线扫描工具对评估目标范围内的主机系统安全、数据库安全、中间件安全等进行系统的策略配置、服务配置、保护措施以及系统和软件升级、更新情况、是否存在后门等内容进行检查</w:t>
            </w:r>
            <w:r>
              <w:rPr>
                <w:rFonts w:hint="eastAsia" w:ascii="宋体" w:hAnsi="宋体" w:cs="宋体"/>
                <w:sz w:val="20"/>
                <w:szCs w:val="20"/>
                <w:highlight w:val="none"/>
                <w:lang w:eastAsia="zh-CN"/>
              </w:rPr>
              <w:t>、</w:t>
            </w:r>
            <w:r>
              <w:rPr>
                <w:rFonts w:hint="eastAsia" w:ascii="宋体" w:hAnsi="宋体" w:cs="宋体"/>
                <w:sz w:val="20"/>
                <w:szCs w:val="20"/>
                <w:highlight w:val="none"/>
                <w:lang w:val="en-US" w:eastAsia="zh-CN"/>
              </w:rPr>
              <w:t>整改</w:t>
            </w:r>
            <w:r>
              <w:rPr>
                <w:rFonts w:hint="eastAsia" w:ascii="宋体" w:hAnsi="宋体" w:cs="宋体"/>
                <w:sz w:val="20"/>
                <w:szCs w:val="20"/>
                <w:highlight w:val="none"/>
              </w:rPr>
              <w:t>。</w:t>
            </w:r>
          </w:p>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rPr>
            </w:pPr>
            <w:r>
              <w:rPr>
                <w:rFonts w:hint="eastAsia" w:ascii="宋体" w:hAnsi="宋体" w:cs="宋体"/>
                <w:sz w:val="20"/>
                <w:szCs w:val="20"/>
                <w:highlight w:val="none"/>
              </w:rPr>
              <w:t>针对正在运行的重要业务系统的基线检查服务，主要包括网络及安全设备、操作系统、Web服务器、中间件的基线检查。</w:t>
            </w:r>
          </w:p>
          <w:p>
            <w:pPr>
              <w:keepNext w:val="0"/>
              <w:keepLines w:val="0"/>
              <w:pageBreakBefore w:val="0"/>
              <w:kinsoku/>
              <w:wordWrap/>
              <w:overflowPunct/>
              <w:topLinePunct w:val="0"/>
              <w:autoSpaceDE/>
              <w:autoSpaceDN/>
              <w:bidi w:val="0"/>
              <w:ind w:left="0"/>
              <w:textAlignment w:val="auto"/>
              <w:rPr>
                <w:rFonts w:hint="default" w:ascii="宋体" w:hAnsi="宋体" w:cs="宋体" w:eastAsiaTheme="minorEastAsia"/>
                <w:sz w:val="20"/>
                <w:szCs w:val="20"/>
                <w:highlight w:val="none"/>
                <w:lang w:val="en-US" w:eastAsia="zh-CN"/>
              </w:rPr>
            </w:pPr>
            <w:r>
              <w:rPr>
                <w:rFonts w:hint="eastAsia" w:ascii="宋体" w:hAnsi="宋体" w:cs="宋体"/>
                <w:sz w:val="20"/>
                <w:szCs w:val="20"/>
                <w:highlight w:val="none"/>
              </w:rPr>
              <w:t>服务频次：</w:t>
            </w:r>
            <w:r>
              <w:rPr>
                <w:rFonts w:hint="eastAsia" w:ascii="宋体" w:hAnsi="宋体" w:cs="宋体"/>
                <w:sz w:val="20"/>
                <w:szCs w:val="20"/>
                <w:highlight w:val="none"/>
                <w:lang w:val="en-US" w:eastAsia="zh-CN"/>
              </w:rPr>
              <w:t>每年开展1次，10个系统。</w:t>
            </w:r>
          </w:p>
          <w:p>
            <w:pPr>
              <w:keepNext w:val="0"/>
              <w:keepLines w:val="0"/>
              <w:pageBreakBefore w:val="0"/>
              <w:kinsoku/>
              <w:wordWrap/>
              <w:overflowPunct/>
              <w:topLinePunct w:val="0"/>
              <w:autoSpaceDE/>
              <w:autoSpaceDN/>
              <w:bidi w:val="0"/>
              <w:ind w:left="0" w:leftChars="0"/>
              <w:textAlignment w:val="auto"/>
              <w:rPr>
                <w:rFonts w:hint="eastAsia" w:ascii="宋体" w:hAnsi="宋体" w:cs="宋体" w:eastAsiaTheme="minorEastAsia"/>
                <w:kern w:val="2"/>
                <w:sz w:val="20"/>
                <w:szCs w:val="20"/>
                <w:highlight w:val="none"/>
                <w:lang w:val="en-US" w:eastAsia="zh-CN" w:bidi="ar"/>
              </w:rPr>
            </w:pPr>
            <w:r>
              <w:rPr>
                <w:rFonts w:hint="eastAsia" w:ascii="宋体" w:hAnsi="宋体" w:cs="宋体"/>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：《xx系统基线配置核查报告》《配置核查问题清单》</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eastAsiaTheme="minorEastAsia"/>
                <w:sz w:val="20"/>
                <w:szCs w:val="20"/>
                <w:highlight w:val="none"/>
                <w:lang w:eastAsia="zh-CN" w:bidi="ar"/>
              </w:rPr>
            </w:pPr>
            <w:r>
              <w:rPr>
                <w:rFonts w:hint="eastAsia" w:ascii="宋体" w:hAnsi="宋体" w:cs="宋体"/>
                <w:sz w:val="20"/>
                <w:szCs w:val="20"/>
                <w:highlight w:val="none"/>
                <w:lang w:val="en-US" w:eastAsia="zh-CN" w:bidi="ar"/>
              </w:rPr>
              <w:t>7</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安全迎检服务</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每年按需提供安全迎检服务，在上级单位进行检查时，需要专业的技术人员配合上级单位进行检查，提交相关的资料给予上级单位，在上级单位发现问题时，及时跟进，完成问题的处理工作。配合采购人迎接网监、卫健委等上级单位的安全检查，确保安全检查工作能够顺利开展，需通过安全检查迎检服务有效帮助采购人开展检查前的准备工作、检查过程中的密切配合及检查后的问题跟进，梳理并提供检查所需要的文档、资料。</w:t>
            </w:r>
          </w:p>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服务频次：按需</w:t>
            </w:r>
          </w:p>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服务交付物（按服务频次提供）：上级部门要求的相关材料</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8</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安全巡检服务</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default" w:ascii="宋体" w:hAnsi="宋体" w:cs="宋体" w:eastAsiaTheme="minorEastAsia"/>
                <w:sz w:val="20"/>
                <w:szCs w:val="20"/>
                <w:highlight w:val="none"/>
                <w:lang w:val="en-US" w:eastAsia="zh-CN" w:bidi="ar"/>
              </w:rPr>
            </w:pPr>
            <w:r>
              <w:rPr>
                <w:rFonts w:hint="eastAsia" w:ascii="宋体" w:hAnsi="宋体" w:cs="宋体"/>
                <w:sz w:val="20"/>
                <w:szCs w:val="20"/>
                <w:highlight w:val="none"/>
                <w:lang w:bidi="ar"/>
              </w:rPr>
              <w:t>对采购人现有网络及安全设备进行检查，检查设备运行状况、功能使用情况、硬件负载情况、设备软件版本更新情况、特征库/病毒库/规则库等更新情况，并对安全设备产生的安全告警日志进行分析，及时发现风险信</w:t>
            </w:r>
            <w:r>
              <w:rPr>
                <w:rFonts w:hint="eastAsia" w:ascii="宋体" w:hAnsi="宋体" w:cs="宋体"/>
                <w:color w:val="000000" w:themeColor="text1"/>
                <w:sz w:val="20"/>
                <w:szCs w:val="20"/>
                <w:highlight w:val="none"/>
                <w:lang w:bidi="ar"/>
                <w14:textFill>
                  <w14:solidFill>
                    <w14:schemeClr w14:val="tx1"/>
                  </w14:solidFill>
                </w14:textFill>
              </w:rPr>
              <w:t>息，协助开展安全整改，安全检查完成后提交安全检查报告。</w:t>
            </w:r>
            <w:r>
              <w:rPr>
                <w:rFonts w:hint="eastAsia" w:ascii="宋体" w:hAnsi="宋体" w:cs="宋体"/>
                <w:color w:val="000000" w:themeColor="text1"/>
                <w:sz w:val="20"/>
                <w:szCs w:val="20"/>
                <w:highlight w:val="none"/>
                <w:lang w:val="en-US" w:eastAsia="zh-CN" w:bidi="ar"/>
                <w14:textFill>
                  <w14:solidFill>
                    <w14:schemeClr w14:val="tx1"/>
                  </w14:solidFill>
                </w14:textFill>
              </w:rPr>
              <w:t>包括：设备运行状况等。</w:t>
            </w:r>
          </w:p>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服务频次：每月1次</w:t>
            </w:r>
          </w:p>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服务交付物（按服务频次提供）：《设备安全巡检报告》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9</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安全事件应急响应</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按需提供安全事件应急响应服务，当系统遭受病毒传播、网络攻击、黑客入侵，安全事件从而导致信息业务中断、系统宕机、网络瘫痪，数据丢失，并对业务运行产生直接或间接的负面影响时，需组织团队所有技术力量，制定完备的应急方案，并根据采购人需要增加技术工程师到采购人现场，负责配合采购人处理信息安全故障。</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服务频次：按需</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服务交付物（按服务频次提供）：《应急响应报告》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10</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网络安全应急预案演练</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依据特定场景的应急预案要求设计应急演练方案、脚本，协助采购人完成演练过程，并提供相关视频、相关图片、总结报告及改进措施等内容。</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服务频次：1年2次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服务交付物（按服务频次提供）：《应急演练脚本》《应急演练总结报告》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11</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全天候线上安全运营服务</w:t>
            </w:r>
          </w:p>
        </w:tc>
        <w:tc>
          <w:tcPr>
            <w:tcW w:w="4946" w:type="dxa"/>
            <w:shd w:val="clear" w:color="auto" w:fill="FFFFFF"/>
            <w:vAlign w:val="top"/>
          </w:tcPr>
          <w:p>
            <w:pPr>
              <w:keepNext w:val="0"/>
              <w:keepLines w:val="0"/>
              <w:pageBreakBefore w:val="0"/>
              <w:widowControl/>
              <w:kinsoku/>
              <w:wordWrap/>
              <w:overflowPunct/>
              <w:topLinePunct w:val="0"/>
              <w:autoSpaceDE/>
              <w:autoSpaceDN/>
              <w:bidi w:val="0"/>
              <w:ind w:left="0"/>
              <w:jc w:val="left"/>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提供全年7*24小时线上安全运营服务，以保障网络安全“持续有效”为目标，云端安全运营团队通过安全运营平台实时对采购人网络安全事件进行监测，联合采购人现场安全服务团队一同构建持续(7*24 小时)、主动、闭环的安全运营体系。围绕资产、漏洞、威胁、事件四个要素，监测安全攻击和入侵攻击事件，通过自动生成工单，与采购人现场的安全服务团队结合，及时进行分析预警和处置。</w:t>
            </w:r>
          </w:p>
          <w:p>
            <w:pPr>
              <w:keepNext w:val="0"/>
              <w:keepLines w:val="0"/>
              <w:pageBreakBefore w:val="0"/>
              <w:kinsoku/>
              <w:wordWrap/>
              <w:overflowPunct/>
              <w:topLinePunct w:val="0"/>
              <w:autoSpaceDE/>
              <w:autoSpaceDN/>
              <w:bidi w:val="0"/>
              <w:ind w:left="0"/>
              <w:jc w:val="left"/>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服务频次：全年</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服务交付物</w:t>
            </w:r>
            <w:r>
              <w:rPr>
                <w:rFonts w:hint="eastAsia" w:ascii="宋体" w:hAnsi="宋体" w:cs="宋体"/>
                <w:color w:val="000000" w:themeColor="text1"/>
                <w:sz w:val="20"/>
                <w:szCs w:val="20"/>
                <w:highlight w:val="none"/>
                <w:lang w:bidi="ar"/>
                <w14:textFill>
                  <w14:solidFill>
                    <w14:schemeClr w14:val="tx1"/>
                  </w14:solidFill>
                </w14:textFill>
              </w:rPr>
              <w:t>（按服务频次提供）</w:t>
            </w:r>
            <w:r>
              <w:rPr>
                <w:rFonts w:hint="eastAsia" w:ascii="宋体" w:hAnsi="宋体" w:cs="宋体"/>
                <w:color w:val="000000" w:themeColor="text1"/>
                <w:sz w:val="20"/>
                <w:szCs w:val="20"/>
                <w:highlight w:val="none"/>
                <w14:textFill>
                  <w14:solidFill>
                    <w14:schemeClr w14:val="tx1"/>
                  </w14:solidFill>
                </w14:textFill>
              </w:rPr>
              <w:t>：《线上安全运营月报》</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FF000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color w:val="000000" w:themeColor="text1"/>
                <w:sz w:val="20"/>
                <w:szCs w:val="20"/>
                <w:highlight w:val="none"/>
                <w:lang w:bidi="ar"/>
                <w14:textFill>
                  <w14:solidFill>
                    <w14:schemeClr w14:val="tx1"/>
                  </w14:solidFill>
                </w14:textFill>
              </w:rPr>
            </w:pPr>
            <w:r>
              <w:rPr>
                <w:rFonts w:ascii="宋体" w:hAnsi="宋体" w:cs="宋体"/>
                <w:color w:val="000000" w:themeColor="text1"/>
                <w:sz w:val="20"/>
                <w:szCs w:val="20"/>
                <w:highlight w:val="none"/>
                <w:lang w:bidi="ar"/>
                <w14:textFill>
                  <w14:solidFill>
                    <w14:schemeClr w14:val="tx1"/>
                  </w14:solidFill>
                </w14:textFill>
              </w:rPr>
              <w:t>12</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sz w:val="20"/>
                <w:szCs w:val="20"/>
                <w:highlight w:val="none"/>
                <w:lang w:bidi="ar"/>
              </w:rPr>
              <w:t>重大节日安全值守（国庆、春节、两会）</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在国家或上级单位要求开展护网行动期间、国家重要节假日（如国庆、春节等）、重大活动（两会等）开始至结束期间，按采购人要求派遣经验丰富的安全专家至采购人现场或远程进行安全值守支持，对网络安全设备等进行安全监控，并对发现的事件进行处理及时上报。</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服务频次：按需</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：《重保值守报告》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eastAsia="宋体" w:cs="宋体"/>
                <w:sz w:val="20"/>
                <w:szCs w:val="20"/>
                <w:highlight w:val="none"/>
                <w:lang w:bidi="ar"/>
              </w:rPr>
            </w:pPr>
            <w:r>
              <w:rPr>
                <w:rFonts w:ascii="宋体" w:hAnsi="宋体" w:cs="宋体"/>
                <w:sz w:val="20"/>
                <w:szCs w:val="20"/>
                <w:highlight w:val="none"/>
                <w:lang w:bidi="ar"/>
              </w:rPr>
              <w:t>1</w:t>
            </w:r>
            <w:r>
              <w:rPr>
                <w:rFonts w:hint="eastAsia" w:ascii="宋体" w:hAnsi="宋体" w:cs="宋体"/>
                <w:sz w:val="20"/>
                <w:szCs w:val="20"/>
                <w:highlight w:val="none"/>
                <w:lang w:bidi="ar"/>
              </w:rPr>
              <w:t>3</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color w:val="000000" w:themeColor="text1"/>
                <w:sz w:val="20"/>
                <w:szCs w:val="20"/>
                <w:highlight w:val="none"/>
                <w:lang w:bidi="ar"/>
                <w14:textFill>
                  <w14:solidFill>
                    <w14:schemeClr w14:val="tx1"/>
                  </w14:solidFill>
                </w14:textFill>
              </w:rPr>
              <w:t>日常安全咨询</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对日常安全工作中的防病毒、安全设备、网络设备、操作系统、应用系统和数据库等相关安全技术问题的咨询服务。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cs="宋体"/>
                <w:color w:val="000000" w:themeColor="text1"/>
                <w:sz w:val="20"/>
                <w:szCs w:val="20"/>
                <w:highlight w:val="none"/>
                <w:lang w:bidi="ar"/>
                <w14:textFill>
                  <w14:solidFill>
                    <w14:schemeClr w14:val="tx1"/>
                  </w14:solidFill>
                </w14:textFill>
              </w:rPr>
              <w:t>服务频率：按需</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000000" w:themeColor="text1"/>
                <w:sz w:val="20"/>
                <w:szCs w:val="20"/>
                <w:highlight w:val="none"/>
                <w:lang w:bidi="ar"/>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color w:val="000000" w:themeColor="text1"/>
                <w:sz w:val="20"/>
                <w:szCs w:val="20"/>
                <w:highlight w:val="none"/>
                <w:lang w:bidi="ar"/>
                <w14:textFill>
                  <w14:solidFill>
                    <w14:schemeClr w14:val="tx1"/>
                  </w14:solidFill>
                </w14:textFill>
              </w:rPr>
            </w:pPr>
            <w:r>
              <w:rPr>
                <w:rFonts w:ascii="宋体" w:hAnsi="宋体" w:cs="宋体"/>
                <w:color w:val="000000" w:themeColor="text1"/>
                <w:sz w:val="20"/>
                <w:szCs w:val="20"/>
                <w:highlight w:val="none"/>
                <w:lang w:bidi="ar"/>
                <w14:textFill>
                  <w14:solidFill>
                    <w14:schemeClr w14:val="tx1"/>
                  </w14:solidFill>
                </w14:textFill>
              </w:rPr>
              <w:t>14</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kern w:val="0"/>
                <w:sz w:val="20"/>
                <w:szCs w:val="20"/>
                <w:highlight w:val="none"/>
              </w:rPr>
              <w:t>安全设备配置适应性调整</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sz w:val="20"/>
                <w:szCs w:val="20"/>
                <w:highlight w:val="none"/>
              </w:rPr>
            </w:pPr>
            <w:r>
              <w:rPr>
                <w:rFonts w:hint="eastAsia"/>
                <w:sz w:val="20"/>
                <w:szCs w:val="20"/>
                <w:highlight w:val="none"/>
              </w:rPr>
              <w:t>在相</w:t>
            </w:r>
            <w:r>
              <w:rPr>
                <w:rFonts w:hint="eastAsia"/>
                <w:color w:val="000000" w:themeColor="text1"/>
                <w:sz w:val="20"/>
                <w:szCs w:val="20"/>
                <w:highlight w:val="none"/>
                <w14:textFill>
                  <w14:solidFill>
                    <w14:schemeClr w14:val="tx1"/>
                  </w14:solidFill>
                </w14:textFill>
              </w:rPr>
              <w:t>关</w:t>
            </w:r>
            <w:r>
              <w:rPr>
                <w:rFonts w:hint="eastAsia"/>
                <w:color w:val="000000" w:themeColor="text1"/>
                <w:sz w:val="20"/>
                <w:szCs w:val="20"/>
                <w:highlight w:val="none"/>
                <w:lang w:val="en-US" w:eastAsia="zh-CN"/>
                <w14:textFill>
                  <w14:solidFill>
                    <w14:schemeClr w14:val="tx1"/>
                  </w14:solidFill>
                </w14:textFill>
              </w:rPr>
              <w:t>网络架构、</w:t>
            </w:r>
            <w:r>
              <w:rPr>
                <w:rFonts w:hint="eastAsia"/>
                <w:color w:val="000000" w:themeColor="text1"/>
                <w:sz w:val="20"/>
                <w:szCs w:val="20"/>
                <w:highlight w:val="none"/>
                <w14:textFill>
                  <w14:solidFill>
                    <w14:schemeClr w14:val="tx1"/>
                  </w14:solidFill>
                </w14:textFill>
              </w:rPr>
              <w:t>安全设备配置需要调整时，供应商必须派遣工程师进行配置风</w:t>
            </w:r>
            <w:r>
              <w:rPr>
                <w:rFonts w:hint="eastAsia"/>
                <w:sz w:val="20"/>
                <w:szCs w:val="20"/>
                <w:highlight w:val="none"/>
              </w:rPr>
              <w:t>险评估、提出调整方案并实施。</w:t>
            </w:r>
          </w:p>
          <w:p>
            <w:pPr>
              <w:pStyle w:val="2"/>
              <w:keepNext w:val="0"/>
              <w:keepLines w:val="0"/>
              <w:pageBreakBefore w:val="0"/>
              <w:kinsoku/>
              <w:wordWrap/>
              <w:overflowPunct/>
              <w:topLinePunct w:val="0"/>
              <w:autoSpaceDE/>
              <w:autoSpaceDN/>
              <w:bidi w:val="0"/>
              <w:spacing w:after="0" w:afterLines="0"/>
              <w:ind w:left="0" w:leftChars="0"/>
              <w:textAlignment w:val="auto"/>
              <w:rPr>
                <w:rFonts w:hint="eastAsia"/>
                <w:sz w:val="20"/>
                <w:szCs w:val="20"/>
                <w:highlight w:val="none"/>
                <w:lang w:val="en-US" w:eastAsia="zh-CN"/>
              </w:rPr>
            </w:pPr>
            <w:r>
              <w:rPr>
                <w:rFonts w:hint="eastAsia"/>
                <w:sz w:val="20"/>
                <w:szCs w:val="20"/>
                <w:highlight w:val="none"/>
                <w:lang w:val="en-US" w:eastAsia="zh-CN"/>
              </w:rPr>
              <w:t>服务频率：按需</w:t>
            </w:r>
          </w:p>
          <w:p>
            <w:pPr>
              <w:pStyle w:val="2"/>
              <w:keepNext w:val="0"/>
              <w:keepLines w:val="0"/>
              <w:pageBreakBefore w:val="0"/>
              <w:kinsoku/>
              <w:wordWrap/>
              <w:overflowPunct/>
              <w:topLinePunct w:val="0"/>
              <w:autoSpaceDE/>
              <w:autoSpaceDN/>
              <w:bidi w:val="0"/>
              <w:spacing w:after="0" w:afterLines="0"/>
              <w:ind w:left="0" w:leftChars="0"/>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sz w:val="20"/>
                <w:szCs w:val="20"/>
                <w:highlight w:val="none"/>
                <w:lang w:val="en-US" w:eastAsia="zh-CN"/>
              </w:rPr>
              <w:t>服务交付物（按服务频次提供）：《安全设备配置调整报告》</w:t>
            </w:r>
          </w:p>
        </w:tc>
        <w:tc>
          <w:tcPr>
            <w:tcW w:w="1175" w:type="dxa"/>
            <w:shd w:val="clear" w:color="auto" w:fill="FFFFFF"/>
            <w:vAlign w:val="top"/>
          </w:tcPr>
          <w:p>
            <w:pPr>
              <w:pStyle w:val="2"/>
              <w:keepNext w:val="0"/>
              <w:keepLines w:val="0"/>
              <w:pageBreakBefore w:val="0"/>
              <w:kinsoku/>
              <w:wordWrap/>
              <w:overflowPunct/>
              <w:topLinePunct w:val="0"/>
              <w:autoSpaceDE/>
              <w:autoSpaceDN/>
              <w:bidi w:val="0"/>
              <w:spacing w:after="0" w:afterLines="0"/>
              <w:ind w:left="0" w:leftChars="0"/>
              <w:textAlignment w:val="auto"/>
              <w:rPr>
                <w:rFonts w:hint="eastAsia"/>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15</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安全培训</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对采购人单位相关人员进行日常安全行为、安全工具使用、安全防护技巧、人工渗透等技术培训。</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lang w:bidi="ar"/>
              </w:rPr>
            </w:pPr>
            <w:r>
              <w:rPr>
                <w:rFonts w:hint="eastAsia" w:ascii="宋体" w:hAnsi="宋体" w:cs="宋体"/>
                <w:sz w:val="20"/>
                <w:szCs w:val="20"/>
                <w:highlight w:val="none"/>
                <w:lang w:bidi="ar"/>
              </w:rPr>
              <w:t>服务频率：每年不少于1次</w:t>
            </w:r>
          </w:p>
          <w:p>
            <w:pPr>
              <w:keepNext w:val="0"/>
              <w:keepLines w:val="0"/>
              <w:pageBreakBefore w:val="0"/>
              <w:kinsoku/>
              <w:wordWrap/>
              <w:overflowPunct/>
              <w:topLinePunct w:val="0"/>
              <w:autoSpaceDE/>
              <w:autoSpaceDN/>
              <w:bidi w:val="0"/>
              <w:ind w:left="0" w:leftChars="0"/>
              <w:jc w:val="left"/>
              <w:textAlignment w:val="auto"/>
              <w:rPr>
                <w:rFonts w:hint="eastAsia"/>
                <w:sz w:val="20"/>
                <w:szCs w:val="20"/>
                <w:highlight w:val="none"/>
                <w:lang w:val="en-US" w:eastAsia="zh-CN"/>
              </w:rPr>
            </w:pPr>
            <w:r>
              <w:rPr>
                <w:rFonts w:hint="eastAsia" w:ascii="宋体" w:hAnsi="宋体" w:cs="宋体"/>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：《安全培训ppt》</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16</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cs="宋体"/>
                <w:sz w:val="20"/>
                <w:szCs w:val="20"/>
                <w:highlight w:val="none"/>
                <w:lang w:bidi="ar"/>
              </w:rPr>
              <w:t>安全攻防演练</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eastAsia" w:ascii="宋体" w:hAnsi="宋体" w:cs="宋体"/>
                <w:sz w:val="20"/>
                <w:szCs w:val="20"/>
                <w:highlight w:val="none"/>
                <w:lang w:bidi="ar"/>
              </w:rPr>
            </w:pPr>
            <w:r>
              <w:rPr>
                <w:rFonts w:hint="eastAsia" w:ascii="宋体" w:hAnsi="宋体" w:cs="宋体"/>
                <w:kern w:val="0"/>
                <w:sz w:val="20"/>
                <w:szCs w:val="20"/>
                <w:highlight w:val="none"/>
              </w:rPr>
              <w:t>提供</w:t>
            </w:r>
            <w:r>
              <w:rPr>
                <w:rFonts w:hint="eastAsia" w:ascii="宋体" w:hAnsi="宋体" w:cs="宋体"/>
                <w:color w:val="000000" w:themeColor="text1"/>
                <w:kern w:val="0"/>
                <w:sz w:val="20"/>
                <w:szCs w:val="20"/>
                <w:highlight w:val="none"/>
                <w14:textFill>
                  <w14:solidFill>
                    <w14:schemeClr w14:val="tx1"/>
                  </w14:solidFill>
                </w14:textFill>
              </w:rPr>
              <w:t>持续1周的实战红队检测服务，组</w:t>
            </w:r>
            <w:r>
              <w:rPr>
                <w:rFonts w:hint="eastAsia" w:ascii="宋体" w:hAnsi="宋体" w:cs="宋体"/>
                <w:kern w:val="0"/>
                <w:sz w:val="20"/>
                <w:szCs w:val="20"/>
                <w:highlight w:val="none"/>
              </w:rPr>
              <w:t>织独立第三方攻击小组对采购人进行模拟真实网络黑客攻击，一方面评估采购人现有业务系统的脆弱性问题，发现安全短板；二是检验安全运营团队的攻击发现、防护、溯源的等运营能力。</w:t>
            </w:r>
            <w:r>
              <w:rPr>
                <w:rFonts w:hint="eastAsia" w:ascii="宋体" w:hAnsi="宋体" w:cs="宋体"/>
                <w:sz w:val="20"/>
                <w:szCs w:val="20"/>
                <w:highlight w:val="none"/>
                <w:lang w:bidi="ar"/>
              </w:rPr>
              <w:t>提高单位工作人员的应急处理能力，确保系统能够在最短时间恢复。做好演练中发现问题、安全漏洞的跟踪整改工作。</w:t>
            </w:r>
          </w:p>
          <w:p>
            <w:pPr>
              <w:keepNext w:val="0"/>
              <w:keepLines w:val="0"/>
              <w:pageBreakBefore w:val="0"/>
              <w:kinsoku/>
              <w:wordWrap/>
              <w:overflowPunct/>
              <w:topLinePunct w:val="0"/>
              <w:autoSpaceDE/>
              <w:autoSpaceDN/>
              <w:bidi w:val="0"/>
              <w:ind w:left="0"/>
              <w:jc w:val="left"/>
              <w:textAlignment w:val="auto"/>
              <w:rPr>
                <w:rFonts w:hint="eastAsia" w:ascii="宋体" w:hAnsi="宋体" w:cs="宋体"/>
                <w:sz w:val="20"/>
                <w:szCs w:val="20"/>
                <w:highlight w:val="none"/>
              </w:rPr>
            </w:pPr>
            <w:r>
              <w:rPr>
                <w:rFonts w:hint="eastAsia" w:ascii="宋体" w:hAnsi="宋体" w:cs="宋体"/>
                <w:sz w:val="20"/>
                <w:szCs w:val="20"/>
                <w:highlight w:val="none"/>
              </w:rPr>
              <w:t>服务频次：</w:t>
            </w:r>
            <w:r>
              <w:rPr>
                <w:rFonts w:hint="eastAsia" w:ascii="宋体" w:hAnsi="宋体" w:cs="宋体"/>
                <w:sz w:val="20"/>
                <w:szCs w:val="20"/>
                <w:highlight w:val="none"/>
                <w:lang w:bidi="ar"/>
              </w:rPr>
              <w:t>1年1次</w:t>
            </w:r>
          </w:p>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lang w:bidi="ar"/>
              </w:rPr>
            </w:pPr>
            <w:r>
              <w:rPr>
                <w:rFonts w:hint="eastAsia" w:ascii="宋体" w:hAnsi="宋体" w:cs="宋体"/>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sz w:val="20"/>
                <w:szCs w:val="20"/>
                <w:highlight w:val="none"/>
              </w:rPr>
              <w:t>：《攻防评估报告》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17</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lang w:eastAsia="zh-CN" w:bidi="ar"/>
                <w14:textFill>
                  <w14:solidFill>
                    <w14:schemeClr w14:val="tx1"/>
                  </w14:solidFill>
                </w14:textFill>
              </w:rPr>
              <w:t>系统上线前评估</w:t>
            </w:r>
          </w:p>
        </w:tc>
        <w:tc>
          <w:tcPr>
            <w:tcW w:w="4946" w:type="dxa"/>
            <w:shd w:val="clear" w:color="auto" w:fill="FFFFFF"/>
            <w:vAlign w:val="top"/>
          </w:tcPr>
          <w:p>
            <w:pPr>
              <w:keepNext w:val="0"/>
              <w:keepLines w:val="0"/>
              <w:pageBreakBefore w:val="0"/>
              <w:kinsoku/>
              <w:wordWrap/>
              <w:overflowPunct/>
              <w:topLinePunct w:val="0"/>
              <w:autoSpaceDE/>
              <w:autoSpaceDN/>
              <w:bidi w:val="0"/>
              <w:ind w:left="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lang w:eastAsia="zh-CN"/>
                <w14:textFill>
                  <w14:solidFill>
                    <w14:schemeClr w14:val="tx1"/>
                  </w14:solidFill>
                </w14:textFill>
              </w:rPr>
              <w:t>供应商</w:t>
            </w:r>
            <w:r>
              <w:rPr>
                <w:rFonts w:hint="eastAsia" w:ascii="宋体" w:hAnsi="宋体" w:cs="宋体"/>
                <w:color w:val="000000" w:themeColor="text1"/>
                <w:kern w:val="0"/>
                <w:sz w:val="20"/>
                <w:szCs w:val="20"/>
                <w:highlight w:val="none"/>
                <w14:textFill>
                  <w14:solidFill>
                    <w14:schemeClr w14:val="tx1"/>
                  </w14:solidFill>
                </w14:textFill>
              </w:rPr>
              <w:t>需提供系统上线安全评估服务，确保新系统能够安全、稳定地运行，防止潜在的安全风险。</w:t>
            </w:r>
          </w:p>
          <w:p>
            <w:pPr>
              <w:keepNext w:val="0"/>
              <w:keepLines w:val="0"/>
              <w:pageBreakBefore w:val="0"/>
              <w:kinsoku/>
              <w:wordWrap/>
              <w:overflowPunct/>
              <w:topLinePunct w:val="0"/>
              <w:autoSpaceDE/>
              <w:autoSpaceDN/>
              <w:bidi w:val="0"/>
              <w:ind w:left="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1、收集信息：收集系统相关信息，如系统架构、设计文档、安全策略等。这些信息将作为评估的基础，帮助评估人员更好地了解系统的特点和安全需求。</w:t>
            </w:r>
          </w:p>
          <w:p>
            <w:pPr>
              <w:keepNext w:val="0"/>
              <w:keepLines w:val="0"/>
              <w:pageBreakBefore w:val="0"/>
              <w:kinsoku/>
              <w:wordWrap/>
              <w:overflowPunct/>
              <w:topLinePunct w:val="0"/>
              <w:autoSpaceDE/>
              <w:autoSpaceDN/>
              <w:bidi w:val="0"/>
              <w:ind w:left="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2、漏洞扫描和渗透测试：使用工具对系统进行漏洞扫描，发现系统存在的漏洞。同时，进行渗透测试，模拟攻击者对系统进行攻击，评估系统的抵抗能力。</w:t>
            </w:r>
          </w:p>
          <w:p>
            <w:pPr>
              <w:keepNext w:val="0"/>
              <w:keepLines w:val="0"/>
              <w:pageBreakBefore w:val="0"/>
              <w:kinsoku/>
              <w:wordWrap/>
              <w:overflowPunct/>
              <w:topLinePunct w:val="0"/>
              <w:autoSpaceDE/>
              <w:autoSpaceDN/>
              <w:bidi w:val="0"/>
              <w:ind w:left="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3、安全配置检查：检查服务器的安全配置，确保系统已经按照最佳实践和等保基线标准进行配置。</w:t>
            </w:r>
          </w:p>
          <w:p>
            <w:pPr>
              <w:keepNext w:val="0"/>
              <w:keepLines w:val="0"/>
              <w:pageBreakBefore w:val="0"/>
              <w:kinsoku/>
              <w:wordWrap/>
              <w:overflowPunct/>
              <w:topLinePunct w:val="0"/>
              <w:autoSpaceDE/>
              <w:autoSpaceDN/>
              <w:bidi w:val="0"/>
              <w:ind w:left="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4、出具安全评估报告：将渗透测试、漏扫、安全配置检查相关检查结果整理成安全评估报告，报告应详细记录评估过程、发现的问题、风险等级以及建议的修复措施等。</w:t>
            </w:r>
          </w:p>
          <w:p>
            <w:pPr>
              <w:keepNext w:val="0"/>
              <w:keepLines w:val="0"/>
              <w:pageBreakBefore w:val="0"/>
              <w:kinsoku/>
              <w:wordWrap/>
              <w:overflowPunct/>
              <w:topLinePunct w:val="0"/>
              <w:autoSpaceDE/>
              <w:autoSpaceDN/>
              <w:bidi w:val="0"/>
              <w:ind w:left="0"/>
              <w:textAlignment w:val="auto"/>
              <w:rPr>
                <w:rFonts w:hint="eastAsia" w:ascii="宋体" w:hAnsi="宋体" w:cs="宋体" w:eastAsiaTheme="minorEastAsia"/>
                <w:color w:val="000000" w:themeColor="text1"/>
                <w:sz w:val="20"/>
                <w:szCs w:val="20"/>
                <w:highlight w:val="none"/>
                <w:lang w:eastAsia="zh-CN" w:bidi="ar"/>
                <w14:textFill>
                  <w14:solidFill>
                    <w14:schemeClr w14:val="tx1"/>
                  </w14:solidFill>
                </w14:textFill>
              </w:rPr>
            </w:pPr>
            <w:r>
              <w:rPr>
                <w:rFonts w:hint="eastAsia" w:ascii="宋体" w:hAnsi="宋体" w:cs="宋体"/>
                <w:color w:val="000000" w:themeColor="text1"/>
                <w:kern w:val="0"/>
                <w:sz w:val="20"/>
                <w:szCs w:val="20"/>
                <w:highlight w:val="none"/>
                <w14:textFill>
                  <w14:solidFill>
                    <w14:schemeClr w14:val="tx1"/>
                  </w14:solidFill>
                </w14:textFill>
              </w:rPr>
              <w:t>5、漏洞修复验证：使用与发现漏洞时相同的工具和方法，对修复后的系统进行测试，确保漏洞已被成功修复。</w:t>
            </w:r>
          </w:p>
          <w:p>
            <w:pPr>
              <w:keepNext w:val="0"/>
              <w:keepLines w:val="0"/>
              <w:pageBreakBefore w:val="0"/>
              <w:kinsoku/>
              <w:wordWrap/>
              <w:overflowPunct/>
              <w:topLinePunct w:val="0"/>
              <w:autoSpaceDE/>
              <w:autoSpaceDN/>
              <w:bidi w:val="0"/>
              <w:ind w:left="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服务频次：按需</w:t>
            </w:r>
          </w:p>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14:textFill>
                  <w14:solidFill>
                    <w14:schemeClr w14:val="tx1"/>
                  </w14:solidFill>
                </w14:textFill>
              </w:rPr>
              <w:t>服务交付物</w:t>
            </w:r>
            <w:r>
              <w:rPr>
                <w:rFonts w:hint="eastAsia" w:ascii="宋体" w:hAnsi="宋体" w:cs="宋体"/>
                <w:color w:val="000000" w:themeColor="text1"/>
                <w:sz w:val="20"/>
                <w:szCs w:val="20"/>
                <w:highlight w:val="none"/>
                <w:lang w:bidi="ar"/>
                <w14:textFill>
                  <w14:solidFill>
                    <w14:schemeClr w14:val="tx1"/>
                  </w14:solidFill>
                </w14:textFill>
              </w:rPr>
              <w:t>（按服务频次提供）</w:t>
            </w:r>
            <w:r>
              <w:rPr>
                <w:rFonts w:hint="eastAsia" w:ascii="宋体" w:hAnsi="宋体" w:cs="宋体"/>
                <w:color w:val="000000" w:themeColor="text1"/>
                <w:sz w:val="20"/>
                <w:szCs w:val="20"/>
                <w:highlight w:val="none"/>
                <w14:textFill>
                  <w14:solidFill>
                    <w14:schemeClr w14:val="tx1"/>
                  </w14:solidFill>
                </w14:textFill>
              </w:rPr>
              <w:t>：《</w:t>
            </w:r>
            <w:r>
              <w:rPr>
                <w:rFonts w:hint="eastAsia" w:ascii="宋体" w:hAnsi="宋体" w:cs="宋体"/>
                <w:color w:val="000000" w:themeColor="text1"/>
                <w:sz w:val="20"/>
                <w:szCs w:val="20"/>
                <w:highlight w:val="none"/>
                <w:lang w:val="en-US" w:eastAsia="zh-CN"/>
                <w14:textFill>
                  <w14:solidFill>
                    <w14:schemeClr w14:val="tx1"/>
                  </w14:solidFill>
                </w14:textFill>
              </w:rPr>
              <w:t>系统上线</w:t>
            </w:r>
            <w:r>
              <w:rPr>
                <w:rFonts w:hint="eastAsia" w:ascii="宋体" w:hAnsi="宋体" w:cs="宋体"/>
                <w:color w:val="000000" w:themeColor="text1"/>
                <w:sz w:val="20"/>
                <w:szCs w:val="20"/>
                <w:highlight w:val="none"/>
                <w14:textFill>
                  <w14:solidFill>
                    <w14:schemeClr w14:val="tx1"/>
                  </w14:solidFill>
                </w14:textFill>
              </w:rPr>
              <w:t>安全</w:t>
            </w:r>
            <w:r>
              <w:rPr>
                <w:rFonts w:hint="eastAsia" w:ascii="宋体" w:hAnsi="宋体" w:cs="宋体"/>
                <w:color w:val="000000" w:themeColor="text1"/>
                <w:sz w:val="20"/>
                <w:szCs w:val="20"/>
                <w:highlight w:val="none"/>
                <w:lang w:val="en-US" w:eastAsia="zh-CN"/>
                <w14:textFill>
                  <w14:solidFill>
                    <w14:schemeClr w14:val="tx1"/>
                  </w14:solidFill>
                </w14:textFill>
              </w:rPr>
              <w:t>评估</w:t>
            </w:r>
            <w:r>
              <w:rPr>
                <w:rFonts w:hint="eastAsia" w:ascii="宋体" w:hAnsi="宋体" w:cs="宋体"/>
                <w:color w:val="000000" w:themeColor="text1"/>
                <w:sz w:val="20"/>
                <w:szCs w:val="20"/>
                <w:highlight w:val="none"/>
                <w14:textFill>
                  <w14:solidFill>
                    <w14:schemeClr w14:val="tx1"/>
                  </w14:solidFill>
                </w14:textFill>
              </w:rPr>
              <w:t>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FF000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18</w:t>
            </w:r>
          </w:p>
        </w:tc>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leftChars="0"/>
              <w:textAlignment w:val="auto"/>
              <w:outlineLvl w:val="9"/>
              <w:rPr>
                <w:rFonts w:hint="eastAsia" w:ascii="宋体" w:hAnsi="宋体" w:cs="宋体" w:eastAsiaTheme="minorEastAsia"/>
                <w:color w:val="FF0000"/>
                <w:sz w:val="20"/>
                <w:szCs w:val="20"/>
                <w:highlight w:val="none"/>
                <w:lang w:eastAsia="zh-CN"/>
              </w:rPr>
            </w:pPr>
            <w:r>
              <w:rPr>
                <w:rFonts w:hint="eastAsia" w:ascii="宋体" w:hAnsi="宋体" w:eastAsia="宋体" w:cs="宋体"/>
                <w:kern w:val="0"/>
                <w:sz w:val="20"/>
                <w:szCs w:val="20"/>
                <w:highlight w:val="none"/>
                <w:lang w:val="en-US" w:eastAsia="zh-CN"/>
              </w:rPr>
              <w:t>敏感信息泄露排查服务</w:t>
            </w:r>
          </w:p>
        </w:tc>
        <w:tc>
          <w:tcPr>
            <w:tcW w:w="4946"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jc w:val="left"/>
              <w:textAlignment w:val="auto"/>
              <w:outlineLvl w:val="9"/>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rPr>
              <w:t>基于医院</w:t>
            </w:r>
            <w:r>
              <w:rPr>
                <w:rFonts w:hint="eastAsia" w:ascii="宋体" w:hAnsi="宋体" w:eastAsia="宋体" w:cs="宋体"/>
                <w:sz w:val="20"/>
                <w:szCs w:val="20"/>
                <w:highlight w:val="none"/>
                <w:lang w:val="en-US" w:eastAsia="zh-CN"/>
              </w:rPr>
              <w:t>业务场景提炼敏感关键字和内容</w:t>
            </w:r>
            <w:r>
              <w:rPr>
                <w:rFonts w:hint="eastAsia" w:ascii="宋体" w:hAnsi="宋体" w:eastAsia="宋体" w:cs="宋体"/>
                <w:sz w:val="20"/>
                <w:szCs w:val="20"/>
                <w:highlight w:val="none"/>
              </w:rPr>
              <w:t>，利用网络爬虫、代码托管平台、网盘、API接口、</w:t>
            </w:r>
            <w:r>
              <w:rPr>
                <w:rFonts w:hint="eastAsia" w:ascii="宋体" w:hAnsi="宋体" w:eastAsia="宋体" w:cs="宋体"/>
                <w:sz w:val="20"/>
                <w:szCs w:val="20"/>
                <w:highlight w:val="none"/>
                <w:lang w:val="en-US" w:eastAsia="zh-CN"/>
              </w:rPr>
              <w:t>黑客</w:t>
            </w:r>
            <w:r>
              <w:rPr>
                <w:rFonts w:hint="eastAsia" w:ascii="宋体" w:hAnsi="宋体" w:eastAsia="宋体" w:cs="宋体"/>
                <w:sz w:val="20"/>
                <w:szCs w:val="20"/>
                <w:highlight w:val="none"/>
              </w:rPr>
              <w:t>论坛（中文及英文）等多渠道搜集医院相关的敏感情</w:t>
            </w:r>
            <w:r>
              <w:rPr>
                <w:rFonts w:hint="eastAsia" w:ascii="宋体" w:hAnsi="宋体" w:eastAsia="宋体" w:cs="宋体"/>
                <w:sz w:val="20"/>
                <w:szCs w:val="20"/>
                <w:highlight w:val="none"/>
                <w:lang w:val="en-US" w:eastAsia="zh-CN"/>
              </w:rPr>
              <w:t>报</w:t>
            </w:r>
            <w:r>
              <w:rPr>
                <w:rFonts w:hint="eastAsia" w:ascii="宋体" w:hAnsi="宋体" w:eastAsia="宋体" w:cs="宋体"/>
                <w:sz w:val="20"/>
                <w:szCs w:val="20"/>
                <w:highlight w:val="none"/>
              </w:rPr>
              <w:t>，如医护数据泄露、患者</w:t>
            </w:r>
            <w:r>
              <w:rPr>
                <w:rFonts w:hint="eastAsia" w:ascii="宋体" w:hAnsi="宋体" w:eastAsia="宋体" w:cs="宋体"/>
                <w:sz w:val="20"/>
                <w:szCs w:val="20"/>
                <w:highlight w:val="none"/>
                <w:lang w:val="en-US" w:eastAsia="zh-CN"/>
              </w:rPr>
              <w:t>敏感</w:t>
            </w:r>
            <w:r>
              <w:rPr>
                <w:rFonts w:hint="eastAsia" w:ascii="宋体" w:hAnsi="宋体" w:eastAsia="宋体" w:cs="宋体"/>
                <w:sz w:val="20"/>
                <w:szCs w:val="20"/>
                <w:highlight w:val="none"/>
              </w:rPr>
              <w:t>数据泄露、应用系统源代码泄露、非公开技术文档泄露、敏感数据</w:t>
            </w:r>
            <w:r>
              <w:rPr>
                <w:rFonts w:hint="eastAsia" w:ascii="宋体" w:hAnsi="宋体" w:eastAsia="宋体" w:cs="宋体"/>
                <w:sz w:val="20"/>
                <w:szCs w:val="20"/>
                <w:highlight w:val="none"/>
                <w:lang w:val="en-US" w:eastAsia="zh-CN"/>
              </w:rPr>
              <w:t>非授权</w:t>
            </w:r>
            <w:r>
              <w:rPr>
                <w:rFonts w:hint="eastAsia" w:ascii="宋体" w:hAnsi="宋体" w:eastAsia="宋体" w:cs="宋体"/>
                <w:sz w:val="20"/>
                <w:szCs w:val="20"/>
                <w:highlight w:val="none"/>
              </w:rPr>
              <w:t>传播与交易等情报，及时发现和处置敏感信息泄露事件，降低医院损失</w:t>
            </w:r>
            <w:r>
              <w:rPr>
                <w:rFonts w:hint="eastAsia" w:ascii="宋体" w:hAnsi="宋体" w:eastAsia="宋体" w:cs="宋体"/>
                <w:sz w:val="20"/>
                <w:szCs w:val="20"/>
                <w:highlight w:val="none"/>
                <w:lang w:eastAsia="zh-CN"/>
              </w:rPr>
              <w:t>。</w:t>
            </w:r>
          </w:p>
          <w:p>
            <w:pPr>
              <w:keepNext w:val="0"/>
              <w:keepLines w:val="0"/>
              <w:pageBreakBefore w:val="0"/>
              <w:widowControl w:val="0"/>
              <w:kinsoku/>
              <w:wordWrap/>
              <w:overflowPunct/>
              <w:topLinePunct w:val="0"/>
              <w:autoSpaceDE/>
              <w:autoSpaceDN/>
              <w:bidi w:val="0"/>
              <w:adjustRightInd/>
              <w:snapToGrid/>
              <w:ind w:left="0"/>
              <w:jc w:val="left"/>
              <w:textAlignment w:val="auto"/>
              <w:outlineLvl w:val="9"/>
              <w:rPr>
                <w:rFonts w:hint="default" w:ascii="宋体" w:hAnsi="宋体" w:eastAsia="宋体" w:cs="宋体"/>
                <w:sz w:val="20"/>
                <w:szCs w:val="20"/>
                <w:highlight w:val="none"/>
                <w:lang w:val="en-US" w:eastAsia="zh-CN" w:bidi="ar"/>
              </w:rPr>
            </w:pPr>
            <w:r>
              <w:rPr>
                <w:rFonts w:hint="eastAsia" w:ascii="宋体" w:hAnsi="宋体" w:eastAsia="宋体" w:cs="宋体"/>
                <w:sz w:val="20"/>
                <w:szCs w:val="20"/>
                <w:highlight w:val="none"/>
                <w:lang w:bidi="ar"/>
              </w:rPr>
              <w:t>服务频次：</w:t>
            </w:r>
            <w:r>
              <w:rPr>
                <w:rFonts w:hint="eastAsia" w:ascii="宋体" w:hAnsi="宋体" w:eastAsia="宋体" w:cs="宋体"/>
                <w:sz w:val="20"/>
                <w:szCs w:val="20"/>
                <w:highlight w:val="none"/>
                <w:lang w:val="en-US" w:eastAsia="zh-CN" w:bidi="ar"/>
              </w:rPr>
              <w:t>1年2次</w:t>
            </w:r>
          </w:p>
          <w:p>
            <w:pPr>
              <w:pStyle w:val="2"/>
              <w:keepNext w:val="0"/>
              <w:keepLines w:val="0"/>
              <w:pageBreakBefore w:val="0"/>
              <w:widowControl w:val="0"/>
              <w:kinsoku/>
              <w:wordWrap/>
              <w:overflowPunct/>
              <w:topLinePunct w:val="0"/>
              <w:autoSpaceDE/>
              <w:autoSpaceDN/>
              <w:bidi w:val="0"/>
              <w:adjustRightInd/>
              <w:snapToGrid/>
              <w:spacing w:after="0" w:afterLines="0"/>
              <w:ind w:left="0" w:leftChars="0" w:firstLine="0" w:firstLineChars="0"/>
              <w:textAlignment w:val="auto"/>
              <w:outlineLvl w:val="9"/>
              <w:rPr>
                <w:rFonts w:hint="eastAsia" w:ascii="宋体" w:hAnsi="宋体" w:cs="宋体"/>
                <w:color w:val="FF0000"/>
                <w:sz w:val="20"/>
                <w:szCs w:val="20"/>
                <w:highlight w:val="none"/>
                <w:lang w:bidi="ar"/>
              </w:rPr>
            </w:pPr>
            <w:r>
              <w:rPr>
                <w:rFonts w:hint="eastAsia" w:ascii="宋体" w:hAnsi="宋体" w:eastAsia="宋体" w:cs="宋体"/>
                <w:sz w:val="20"/>
                <w:szCs w:val="20"/>
                <w:highlight w:val="none"/>
              </w:rPr>
              <w:t>服务交付物</w:t>
            </w:r>
            <w:r>
              <w:rPr>
                <w:rFonts w:hint="eastAsia" w:ascii="宋体" w:hAnsi="宋体" w:eastAsia="宋体" w:cs="宋体"/>
                <w:sz w:val="20"/>
                <w:szCs w:val="20"/>
                <w:highlight w:val="none"/>
                <w:lang w:bidi="ar"/>
              </w:rPr>
              <w:t>（按服务频次提供）</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敏感信息泄露排查情况报告</w:t>
            </w:r>
            <w:r>
              <w:rPr>
                <w:rFonts w:hint="eastAsia" w:ascii="宋体" w:hAnsi="宋体" w:eastAsia="宋体" w:cs="宋体"/>
                <w:sz w:val="20"/>
                <w:szCs w:val="20"/>
                <w:highlight w:val="none"/>
              </w:rPr>
              <w:t>》</w:t>
            </w:r>
          </w:p>
        </w:tc>
        <w:tc>
          <w:tcPr>
            <w:tcW w:w="1175" w:type="dxa"/>
            <w:shd w:val="clear" w:color="auto" w:fill="FFFFFF"/>
            <w:vAlign w:val="center"/>
          </w:tcPr>
          <w:p>
            <w:pPr>
              <w:pStyle w:val="2"/>
              <w:keepNext w:val="0"/>
              <w:keepLines w:val="0"/>
              <w:pageBreakBefore w:val="0"/>
              <w:widowControl w:val="0"/>
              <w:kinsoku/>
              <w:wordWrap/>
              <w:overflowPunct/>
              <w:topLinePunct w:val="0"/>
              <w:autoSpaceDE/>
              <w:autoSpaceDN/>
              <w:bidi w:val="0"/>
              <w:adjustRightInd/>
              <w:snapToGrid/>
              <w:spacing w:after="0" w:afterLines="0"/>
              <w:ind w:left="0" w:leftChars="0" w:firstLine="0" w:firstLineChars="0"/>
              <w:textAlignment w:val="auto"/>
              <w:outlineLvl w:val="9"/>
              <w:rPr>
                <w:rFonts w:hint="eastAsia" w:ascii="宋体" w:hAnsi="宋体" w:eastAsia="宋体" w:cs="宋体"/>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z w:val="20"/>
                <w:szCs w:val="20"/>
                <w:highlight w:val="none"/>
                <w:lang w:bidi="ar"/>
              </w:rPr>
            </w:pPr>
            <w:r>
              <w:rPr>
                <w:rFonts w:ascii="宋体" w:hAnsi="宋体" w:cs="宋体"/>
                <w:sz w:val="20"/>
                <w:szCs w:val="20"/>
                <w:highlight w:val="none"/>
                <w:lang w:bidi="ar"/>
              </w:rPr>
              <w:t>19</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设备运行安全审计</w:t>
            </w:r>
          </w:p>
        </w:tc>
        <w:tc>
          <w:tcPr>
            <w:tcW w:w="4946" w:type="dxa"/>
            <w:shd w:val="clear" w:color="auto" w:fill="FFFFFF"/>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网络中部署的安全产品会产生大量的网络访问日志、管理行为记录、操作行为记录、产品运行记录和网络流量等数据，以及安全监测产生的大量信息，这些信息数量庞大并且无明显关系，但其中可能隐含着潜在的网络攻击行为或已经发生但未发现的攻击行为、产品故障等。安全审计工作利用安全运营平台等工具，结合资产信息等实际情况，找出这些海量数据中的关联关系，设置各种关联分析规则和过滤条件，挖掘出有价值的网络攻击、运行故障等信息。</w:t>
            </w:r>
          </w:p>
          <w:p>
            <w:pPr>
              <w:keepNext w:val="0"/>
              <w:keepLines w:val="0"/>
              <w:pageBreakBefore w:val="0"/>
              <w:kinsoku/>
              <w:wordWrap/>
              <w:overflowPunct/>
              <w:topLinePunct w:val="0"/>
              <w:autoSpaceDE/>
              <w:autoSpaceDN/>
              <w:bidi w:val="0"/>
              <w:ind w:left="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服务频次：每季度一次</w:t>
            </w:r>
          </w:p>
          <w:p>
            <w:pPr>
              <w:keepNext w:val="0"/>
              <w:keepLines w:val="0"/>
              <w:pageBreakBefore w:val="0"/>
              <w:kinsoku/>
              <w:wordWrap/>
              <w:overflowPunct/>
              <w:topLinePunct w:val="0"/>
              <w:autoSpaceDE/>
              <w:autoSpaceDN/>
              <w:bidi w:val="0"/>
              <w:ind w:left="0" w:leftChars="0"/>
              <w:jc w:val="left"/>
              <w:textAlignment w:val="auto"/>
              <w:rPr>
                <w:rFonts w:hint="eastAsia"/>
                <w:color w:val="000000" w:themeColor="text1"/>
                <w:highlight w:val="none"/>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服务交付物（按服务频次提供）：《季度工作报告》</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FF0000"/>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trike/>
                <w:dstrike w:val="0"/>
                <w:color w:val="FF0000"/>
                <w:sz w:val="20"/>
                <w:szCs w:val="20"/>
                <w:highlight w:val="none"/>
                <w:lang w:bidi="ar"/>
              </w:rPr>
            </w:pPr>
            <w:r>
              <w:rPr>
                <w:rFonts w:ascii="宋体" w:hAnsi="宋体" w:cs="宋体"/>
                <w:sz w:val="20"/>
                <w:szCs w:val="20"/>
                <w:highlight w:val="none"/>
                <w:lang w:bidi="ar"/>
              </w:rPr>
              <w:t>20</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trike/>
                <w:dstrike w:val="0"/>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病毒监控防治服务</w:t>
            </w:r>
          </w:p>
        </w:tc>
        <w:tc>
          <w:tcPr>
            <w:tcW w:w="4946" w:type="dxa"/>
            <w:shd w:val="clear" w:color="auto" w:fill="FFFFFF"/>
            <w:vAlign w:val="top"/>
          </w:tcPr>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jc w:val="left"/>
              <w:textAlignment w:val="auto"/>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1、</w:t>
            </w:r>
            <w:r>
              <w:rPr>
                <w:rFonts w:hint="eastAsia" w:ascii="宋体" w:hAnsi="宋体" w:eastAsia="宋体" w:cs="宋体"/>
                <w:color w:val="000000" w:themeColor="text1"/>
                <w:sz w:val="20"/>
                <w:szCs w:val="20"/>
                <w:highlight w:val="none"/>
                <w14:textFill>
                  <w14:solidFill>
                    <w14:schemeClr w14:val="tx1"/>
                  </w14:solidFill>
                </w14:textFill>
              </w:rPr>
              <w:t>提供防病毒系统</w:t>
            </w:r>
            <w:r>
              <w:rPr>
                <w:rFonts w:hint="eastAsia" w:ascii="宋体" w:hAnsi="宋体" w:eastAsia="宋体" w:cs="宋体"/>
                <w:color w:val="000000" w:themeColor="text1"/>
                <w:sz w:val="20"/>
                <w:szCs w:val="20"/>
                <w:highlight w:val="none"/>
                <w:lang w:eastAsia="zh-CN"/>
                <w14:textFill>
                  <w14:solidFill>
                    <w14:schemeClr w14:val="tx1"/>
                  </w14:solidFill>
                </w14:textFill>
              </w:rPr>
              <w:t>、数据中间机交换系统的</w:t>
            </w:r>
            <w:r>
              <w:rPr>
                <w:rFonts w:hint="eastAsia" w:ascii="宋体" w:hAnsi="宋体" w:eastAsia="宋体" w:cs="宋体"/>
                <w:color w:val="000000" w:themeColor="text1"/>
                <w:sz w:val="20"/>
                <w:szCs w:val="20"/>
                <w:highlight w:val="none"/>
                <w14:textFill>
                  <w14:solidFill>
                    <w14:schemeClr w14:val="tx1"/>
                  </w14:solidFill>
                </w14:textFill>
              </w:rPr>
              <w:t>巡检、病毒查杀服务、防病毒管理软件的安装管理和协助安装服务。旨在保障防病毒软件的全面（包括但不限于</w:t>
            </w:r>
            <w:r>
              <w:rPr>
                <w:rFonts w:hint="eastAsia" w:ascii="宋体" w:hAnsi="宋体" w:eastAsia="宋体" w:cs="宋体"/>
                <w:color w:val="000000" w:themeColor="text1"/>
                <w:sz w:val="20"/>
                <w:szCs w:val="20"/>
                <w:highlight w:val="none"/>
                <w:lang w:val="en-US" w:eastAsia="zh-CN"/>
                <w14:textFill>
                  <w14:solidFill>
                    <w14:schemeClr w14:val="tx1"/>
                  </w14:solidFill>
                </w14:textFill>
              </w:rPr>
              <w:t>服务器、办公终端、监区设备等</w:t>
            </w:r>
            <w:r>
              <w:rPr>
                <w:rFonts w:hint="eastAsia" w:ascii="宋体" w:hAnsi="宋体" w:eastAsia="宋体" w:cs="宋体"/>
                <w:color w:val="000000" w:themeColor="text1"/>
                <w:sz w:val="20"/>
                <w:szCs w:val="20"/>
                <w:highlight w:val="none"/>
                <w14:textFill>
                  <w14:solidFill>
                    <w14:schemeClr w14:val="tx1"/>
                  </w14:solidFill>
                </w14:textFill>
              </w:rPr>
              <w:t>）覆盖，提升</w:t>
            </w:r>
            <w:r>
              <w:rPr>
                <w:rFonts w:hint="eastAsia" w:ascii="宋体" w:hAnsi="宋体" w:eastAsia="宋体" w:cs="宋体"/>
                <w:color w:val="000000" w:themeColor="text1"/>
                <w:sz w:val="20"/>
                <w:szCs w:val="20"/>
                <w:highlight w:val="none"/>
                <w:lang w:val="en-US" w:eastAsia="zh-CN"/>
                <w14:textFill>
                  <w14:solidFill>
                    <w14:schemeClr w14:val="tx1"/>
                  </w14:solidFill>
                </w14:textFill>
              </w:rPr>
              <w:t>全网</w:t>
            </w:r>
            <w:r>
              <w:rPr>
                <w:rFonts w:hint="eastAsia" w:ascii="宋体" w:hAnsi="宋体" w:eastAsia="宋体" w:cs="宋体"/>
                <w:color w:val="000000" w:themeColor="text1"/>
                <w:sz w:val="20"/>
                <w:szCs w:val="20"/>
                <w:highlight w:val="none"/>
                <w14:textFill>
                  <w14:solidFill>
                    <w14:schemeClr w14:val="tx1"/>
                  </w14:solidFill>
                </w14:textFill>
              </w:rPr>
              <w:t>病毒</w:t>
            </w:r>
            <w:r>
              <w:rPr>
                <w:rFonts w:hint="eastAsia" w:ascii="宋体" w:hAnsi="宋体" w:eastAsia="宋体" w:cs="宋体"/>
                <w:color w:val="000000" w:themeColor="text1"/>
                <w:sz w:val="20"/>
                <w:szCs w:val="20"/>
                <w:highlight w:val="none"/>
                <w:lang w:val="en-US" w:eastAsia="zh-CN"/>
                <w14:textFill>
                  <w14:solidFill>
                    <w14:schemeClr w14:val="tx1"/>
                  </w14:solidFill>
                </w14:textFill>
              </w:rPr>
              <w:t>查杀</w:t>
            </w:r>
            <w:r>
              <w:rPr>
                <w:rFonts w:hint="eastAsia" w:ascii="宋体" w:hAnsi="宋体" w:eastAsia="宋体" w:cs="宋体"/>
                <w:color w:val="000000" w:themeColor="text1"/>
                <w:sz w:val="20"/>
                <w:szCs w:val="20"/>
                <w:highlight w:val="none"/>
                <w14:textFill>
                  <w14:solidFill>
                    <w14:schemeClr w14:val="tx1"/>
                  </w14:solidFill>
                </w14:textFill>
              </w:rPr>
              <w:t>能力。</w:t>
            </w:r>
            <w:r>
              <w:rPr>
                <w:rFonts w:hint="eastAsia" w:ascii="宋体" w:hAnsi="宋体" w:eastAsia="宋体" w:cs="宋体"/>
                <w:color w:val="000000" w:themeColor="text1"/>
                <w:sz w:val="20"/>
                <w:szCs w:val="20"/>
                <w:highlight w:val="none"/>
                <w:lang w:val="en-US" w:eastAsia="zh-CN"/>
                <w14:textFill>
                  <w14:solidFill>
                    <w14:schemeClr w14:val="tx1"/>
                  </w14:solidFill>
                </w14:textFill>
              </w:rPr>
              <w:t>通过人工上机排查方式服务器及终端是否完整安装防病毒软件，特征库是否更新最新，有异常现场协助升级；</w:t>
            </w: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jc w:val="left"/>
              <w:textAlignment w:val="auto"/>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2、对全网</w:t>
            </w:r>
            <w:r>
              <w:rPr>
                <w:rFonts w:hint="eastAsia" w:ascii="宋体" w:hAnsi="宋体" w:eastAsia="宋体" w:cs="宋体"/>
                <w:color w:val="000000" w:themeColor="text1"/>
                <w:sz w:val="20"/>
                <w:szCs w:val="20"/>
                <w:highlight w:val="none"/>
                <w14:textFill>
                  <w14:solidFill>
                    <w14:schemeClr w14:val="tx1"/>
                  </w14:solidFill>
                </w14:textFill>
              </w:rPr>
              <w:t>病毒日志</w:t>
            </w:r>
            <w:r>
              <w:rPr>
                <w:rFonts w:hint="eastAsia" w:ascii="宋体" w:hAnsi="宋体" w:eastAsia="宋体" w:cs="宋体"/>
                <w:color w:val="000000" w:themeColor="text1"/>
                <w:sz w:val="20"/>
                <w:szCs w:val="20"/>
                <w:highlight w:val="none"/>
                <w:lang w:val="en-US" w:eastAsia="zh-CN"/>
                <w14:textFill>
                  <w14:solidFill>
                    <w14:schemeClr w14:val="tx1"/>
                  </w14:solidFill>
                </w14:textFill>
              </w:rPr>
              <w:t>进行</w:t>
            </w:r>
            <w:r>
              <w:rPr>
                <w:rFonts w:hint="eastAsia" w:ascii="宋体" w:hAnsi="宋体" w:eastAsia="宋体" w:cs="宋体"/>
                <w:color w:val="000000" w:themeColor="text1"/>
                <w:sz w:val="20"/>
                <w:szCs w:val="20"/>
                <w:highlight w:val="none"/>
                <w14:textFill>
                  <w14:solidFill>
                    <w14:schemeClr w14:val="tx1"/>
                  </w14:solidFill>
                </w14:textFill>
              </w:rPr>
              <w:t>深度分析</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分析</w:t>
            </w:r>
            <w:r>
              <w:rPr>
                <w:rFonts w:hint="eastAsia" w:ascii="宋体" w:hAnsi="宋体" w:eastAsia="宋体" w:cs="宋体"/>
                <w:color w:val="000000" w:themeColor="text1"/>
                <w:sz w:val="20"/>
                <w:szCs w:val="20"/>
                <w:highlight w:val="none"/>
                <w14:textFill>
                  <w14:solidFill>
                    <w14:schemeClr w14:val="tx1"/>
                  </w14:solidFill>
                </w14:textFill>
              </w:rPr>
              <w:t>病毒传播及感染方向</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14:textFill>
                  <w14:solidFill>
                    <w14:schemeClr w14:val="tx1"/>
                  </w14:solidFill>
                </w14:textFill>
              </w:rPr>
              <w:t>能辅助安全管理人员直观判断病毒传播渠道风险</w:t>
            </w:r>
            <w:r>
              <w:rPr>
                <w:rFonts w:hint="eastAsia" w:ascii="宋体" w:hAnsi="宋体" w:eastAsia="宋体" w:cs="宋体"/>
                <w:color w:val="000000" w:themeColor="text1"/>
                <w:sz w:val="20"/>
                <w:szCs w:val="20"/>
                <w:highlight w:val="none"/>
                <w:lang w:val="en-US" w:eastAsia="zh-CN"/>
                <w14:textFill>
                  <w14:solidFill>
                    <w14:schemeClr w14:val="tx1"/>
                  </w14:solidFill>
                </w14:textFill>
              </w:rPr>
              <w:t>有助于提升相应安全防护措施。</w:t>
            </w:r>
          </w:p>
          <w:p>
            <w:pPr>
              <w:keepNext w:val="0"/>
              <w:keepLines w:val="0"/>
              <w:pageBreakBefore w:val="0"/>
              <w:kinsoku/>
              <w:wordWrap/>
              <w:overflowPunct/>
              <w:topLinePunct w:val="0"/>
              <w:autoSpaceDE/>
              <w:autoSpaceDN/>
              <w:bidi w:val="0"/>
              <w:ind w:left="0"/>
              <w:jc w:val="left"/>
              <w:textAlignment w:val="auto"/>
              <w:rPr>
                <w:rFonts w:hint="eastAsia" w:ascii="宋体" w:hAnsi="宋体" w:eastAsia="宋体" w:cs="宋体"/>
                <w:color w:val="000000" w:themeColor="text1"/>
                <w:sz w:val="20"/>
                <w:szCs w:val="20"/>
                <w:highlight w:val="none"/>
                <w:lang w:val="en-US" w:eastAsia="zh-CN"/>
                <w14:textFill>
                  <w14:solidFill>
                    <w14:schemeClr w14:val="tx1"/>
                  </w14:solidFill>
                </w14:textFill>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3、对恶性病毒如</w:t>
            </w:r>
            <w:r>
              <w:rPr>
                <w:rFonts w:hint="eastAsia" w:ascii="宋体" w:hAnsi="宋体" w:eastAsia="宋体" w:cs="宋体"/>
                <w:color w:val="000000" w:themeColor="text1"/>
                <w:sz w:val="20"/>
                <w:szCs w:val="20"/>
                <w:highlight w:val="none"/>
                <w14:textFill>
                  <w14:solidFill>
                    <w14:schemeClr w14:val="tx1"/>
                  </w14:solidFill>
                </w14:textFill>
              </w:rPr>
              <w:t>勒索病毒</w:t>
            </w: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挖矿病毒、银狐病毒等进行专项排查，对病毒传播渠道进行专项分析，修补安全漏洞避免恶性病毒反复感染。</w:t>
            </w:r>
          </w:p>
          <w:p>
            <w:pPr>
              <w:keepNext w:val="0"/>
              <w:keepLines w:val="0"/>
              <w:pageBreakBefore w:val="0"/>
              <w:kinsoku/>
              <w:wordWrap/>
              <w:overflowPunct/>
              <w:topLinePunct w:val="0"/>
              <w:autoSpaceDE/>
              <w:autoSpaceDN/>
              <w:bidi w:val="0"/>
              <w:ind w:left="0"/>
              <w:jc w:val="left"/>
              <w:textAlignment w:val="auto"/>
              <w:rPr>
                <w:rFonts w:hint="eastAsia" w:ascii="宋体" w:hAnsi="宋体" w:eastAsia="宋体" w:cs="宋体"/>
                <w:color w:val="000000" w:themeColor="text1"/>
                <w:sz w:val="20"/>
                <w:szCs w:val="20"/>
                <w:highlight w:val="none"/>
                <w:lang w:val="en-US" w:eastAsia="zh-CN" w:bidi="ar"/>
                <w14:textFill>
                  <w14:solidFill>
                    <w14:schemeClr w14:val="tx1"/>
                  </w14:solidFill>
                </w14:textFill>
              </w:rPr>
            </w:pPr>
            <w:r>
              <w:rPr>
                <w:rFonts w:hint="eastAsia" w:ascii="宋体" w:hAnsi="宋体" w:eastAsia="宋体" w:cs="宋体"/>
                <w:color w:val="000000" w:themeColor="text1"/>
                <w:sz w:val="20"/>
                <w:szCs w:val="20"/>
                <w:highlight w:val="none"/>
                <w:lang w:bidi="ar"/>
                <w14:textFill>
                  <w14:solidFill>
                    <w14:schemeClr w14:val="tx1"/>
                  </w14:solidFill>
                </w14:textFill>
              </w:rPr>
              <w:t>服务频次：</w:t>
            </w:r>
            <w:r>
              <w:rPr>
                <w:rFonts w:hint="eastAsia" w:ascii="宋体" w:hAnsi="宋体" w:eastAsia="宋体" w:cs="宋体"/>
                <w:color w:val="000000" w:themeColor="text1"/>
                <w:sz w:val="20"/>
                <w:szCs w:val="20"/>
                <w:highlight w:val="none"/>
                <w:lang w:val="en-US" w:eastAsia="zh-CN" w:bidi="ar"/>
                <w14:textFill>
                  <w14:solidFill>
                    <w14:schemeClr w14:val="tx1"/>
                  </w14:solidFill>
                </w14:textFill>
              </w:rPr>
              <w:t>一个季度一次</w:t>
            </w:r>
          </w:p>
          <w:p>
            <w:pPr>
              <w:pStyle w:val="2"/>
              <w:keepNext w:val="0"/>
              <w:keepLines w:val="0"/>
              <w:pageBreakBefore w:val="0"/>
              <w:widowControl w:val="0"/>
              <w:kinsoku/>
              <w:wordWrap/>
              <w:overflowPunct/>
              <w:topLinePunct w:val="0"/>
              <w:autoSpaceDE/>
              <w:autoSpaceDN/>
              <w:bidi w:val="0"/>
              <w:adjustRightInd/>
              <w:snapToGrid/>
              <w:spacing w:after="0" w:afterLines="0"/>
              <w:ind w:left="0" w:leftChars="0" w:firstLine="0" w:firstLineChars="0"/>
              <w:textAlignment w:val="auto"/>
              <w:outlineLvl w:val="9"/>
              <w:rPr>
                <w:rFonts w:hint="eastAsia" w:ascii="宋体" w:hAnsi="宋体" w:cs="宋体"/>
                <w:strike/>
                <w:dstrike w:val="0"/>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服务交付物（按服务频次提供）：《</w:t>
            </w:r>
            <w:r>
              <w:rPr>
                <w:rFonts w:hint="eastAsia" w:ascii="宋体" w:hAnsi="宋体" w:cs="宋体"/>
                <w:color w:val="000000" w:themeColor="text1"/>
                <w:sz w:val="20"/>
                <w:szCs w:val="20"/>
                <w:highlight w:val="none"/>
                <w:lang w:eastAsia="zh-CN" w:bidi="ar"/>
                <w14:textFill>
                  <w14:solidFill>
                    <w14:schemeClr w14:val="tx1"/>
                  </w14:solidFill>
                </w14:textFill>
              </w:rPr>
              <w:t>病毒监控防治报告</w:t>
            </w:r>
            <w:r>
              <w:rPr>
                <w:rFonts w:hint="eastAsia" w:ascii="宋体" w:hAnsi="宋体" w:cs="宋体"/>
                <w:color w:val="000000" w:themeColor="text1"/>
                <w:sz w:val="20"/>
                <w:szCs w:val="20"/>
                <w:highlight w:val="none"/>
                <w:lang w:bidi="ar"/>
                <w14:textFill>
                  <w14:solidFill>
                    <w14:schemeClr w14:val="tx1"/>
                  </w14:solidFill>
                </w14:textFill>
              </w:rPr>
              <w:t>》</w:t>
            </w:r>
          </w:p>
        </w:tc>
        <w:tc>
          <w:tcPr>
            <w:tcW w:w="1175" w:type="dxa"/>
            <w:shd w:val="clear" w:color="auto" w:fill="FFFFFF"/>
            <w:vAlign w:val="top"/>
          </w:tcPr>
          <w:p>
            <w:pPr>
              <w:pStyle w:val="2"/>
              <w:keepNext w:val="0"/>
              <w:keepLines w:val="0"/>
              <w:pageBreakBefore w:val="0"/>
              <w:widowControl w:val="0"/>
              <w:kinsoku/>
              <w:wordWrap/>
              <w:overflowPunct/>
              <w:topLinePunct w:val="0"/>
              <w:autoSpaceDE/>
              <w:autoSpaceDN/>
              <w:bidi w:val="0"/>
              <w:adjustRightInd/>
              <w:snapToGrid/>
              <w:spacing w:after="0" w:afterLines="0"/>
              <w:ind w:left="0" w:leftChars="0" w:firstLine="0" w:firstLineChars="0"/>
              <w:textAlignment w:val="auto"/>
              <w:outlineLvl w:val="9"/>
              <w:rPr>
                <w:rFonts w:hint="eastAsia" w:ascii="宋体" w:hAnsi="宋体" w:cs="宋体"/>
                <w:color w:val="FF0000"/>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color w:val="000000" w:themeColor="text1"/>
                <w:sz w:val="20"/>
                <w:szCs w:val="20"/>
                <w:highlight w:val="none"/>
                <w:lang w:bidi="ar"/>
                <w14:textFill>
                  <w14:solidFill>
                    <w14:schemeClr w14:val="tx1"/>
                  </w14:solidFill>
                </w14:textFill>
              </w:rPr>
            </w:pPr>
            <w:r>
              <w:rPr>
                <w:rFonts w:ascii="宋体" w:hAnsi="宋体" w:cs="宋体"/>
                <w:color w:val="000000" w:themeColor="text1"/>
                <w:sz w:val="20"/>
                <w:szCs w:val="20"/>
                <w:highlight w:val="none"/>
                <w:lang w:bidi="ar"/>
                <w14:textFill>
                  <w14:solidFill>
                    <w14:schemeClr w14:val="tx1"/>
                  </w14:solidFill>
                </w14:textFill>
              </w:rPr>
              <w:t>21</w:t>
            </w:r>
          </w:p>
        </w:tc>
        <w:tc>
          <w:tcPr>
            <w:tcW w:w="1260" w:type="dxa"/>
            <w:shd w:val="clear" w:color="auto" w:fill="FFFFFF"/>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驻场服务</w:t>
            </w:r>
          </w:p>
        </w:tc>
        <w:tc>
          <w:tcPr>
            <w:tcW w:w="4946"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color w:val="000000" w:themeColor="text1"/>
                <w:sz w:val="20"/>
                <w:szCs w:val="20"/>
                <w:highlight w:val="none"/>
                <w:lang w:bidi="ar"/>
                <w14:textFill>
                  <w14:solidFill>
                    <w14:schemeClr w14:val="tx1"/>
                  </w14:solidFill>
                </w14:textFill>
              </w:rPr>
            </w:pPr>
            <w:r>
              <w:rPr>
                <w:rFonts w:hint="eastAsia" w:ascii="宋体" w:hAnsi="宋体" w:cs="宋体"/>
                <w:color w:val="000000" w:themeColor="text1"/>
                <w:sz w:val="20"/>
                <w:szCs w:val="20"/>
                <w:highlight w:val="none"/>
                <w:lang w:bidi="ar"/>
                <w14:textFill>
                  <w14:solidFill>
                    <w14:schemeClr w14:val="tx1"/>
                  </w14:solidFill>
                </w14:textFill>
              </w:rPr>
              <w:t>要求</w:t>
            </w:r>
            <w:r>
              <w:rPr>
                <w:rFonts w:hint="eastAsia" w:ascii="宋体" w:hAnsi="宋体" w:cs="宋体"/>
                <w:color w:val="000000" w:themeColor="text1"/>
                <w:sz w:val="20"/>
                <w:szCs w:val="20"/>
                <w:highlight w:val="none"/>
                <w:lang w:val="en-US" w:eastAsia="zh-CN" w:bidi="ar"/>
                <w14:textFill>
                  <w14:solidFill>
                    <w14:schemeClr w14:val="tx1"/>
                  </w14:solidFill>
                </w14:textFill>
              </w:rPr>
              <w:t>2名工程师（1名有软考中级信息安全工程师或网络工程师且有3年以上网络安全相关工作经验的人员，1名有一年网络安全相关工作经验的人员）</w:t>
            </w:r>
            <w:r>
              <w:rPr>
                <w:rFonts w:hint="eastAsia" w:ascii="宋体" w:hAnsi="宋体" w:cs="宋体"/>
                <w:color w:val="000000" w:themeColor="text1"/>
                <w:sz w:val="20"/>
                <w:szCs w:val="20"/>
                <w:highlight w:val="none"/>
                <w:lang w:bidi="ar"/>
                <w14:textFill>
                  <w14:solidFill>
                    <w14:schemeClr w14:val="tx1"/>
                  </w14:solidFill>
                </w14:textFill>
              </w:rPr>
              <w:t>驻点服务，驻点时间按照采购人工作时间开展，具备胜任工作的技术能力。协助采购人相关人员进行网络和信息安全管理，负责安全配置策略维护、病毒查杀、安全监测、设备运行状态检查、故障处置等事项，随时应对和处理信息系统发生的各类安全事件，对设备进行有效的常规性安全维护，保障系统处于“健康”、安全的状态。</w:t>
            </w:r>
          </w:p>
        </w:tc>
        <w:tc>
          <w:tcPr>
            <w:tcW w:w="1175" w:type="dxa"/>
            <w:shd w:val="clear" w:color="auto" w:fill="FFFFFF"/>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color w:val="000000" w:themeColor="text1"/>
                <w:sz w:val="20"/>
                <w:szCs w:val="20"/>
                <w:highlight w:val="none"/>
                <w:lang w:bidi="ar"/>
                <w14:textFill>
                  <w14:solidFill>
                    <w14:schemeClr w14:val="tx1"/>
                  </w14:solidFill>
                </w14:textFill>
              </w:rPr>
            </w:pPr>
            <w:r>
              <w:rPr>
                <w:rFonts w:ascii="宋体" w:hAnsi="宋体" w:cs="宋体"/>
                <w:color w:val="000000" w:themeColor="text1"/>
                <w:sz w:val="20"/>
                <w:szCs w:val="20"/>
                <w:highlight w:val="none"/>
                <w:lang w:bidi="ar"/>
                <w14:textFill>
                  <w14:solidFill>
                    <w14:schemeClr w14:val="tx1"/>
                  </w14:solidFill>
                </w14:textFill>
              </w:rPr>
              <w:t>22</w:t>
            </w:r>
          </w:p>
        </w:tc>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ind w:left="0" w:leftChars="0"/>
              <w:textAlignment w:val="auto"/>
              <w:rPr>
                <w:rFonts w:hint="eastAsia" w:ascii="宋体" w:hAnsi="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val="en-US" w:eastAsia="zh-CN"/>
                <w14:textFill>
                  <w14:solidFill>
                    <w14:schemeClr w14:val="tx1"/>
                  </w14:solidFill>
                </w14:textFill>
              </w:rPr>
              <w:t>医疗重要数据分类分级服务</w:t>
            </w:r>
          </w:p>
        </w:tc>
        <w:tc>
          <w:tcPr>
            <w:tcW w:w="4946" w:type="dxa"/>
            <w:shd w:val="clear" w:color="auto" w:fill="FFFFFF"/>
            <w:vAlign w:val="top"/>
          </w:tcPr>
          <w:p>
            <w:pPr>
              <w:keepNext w:val="0"/>
              <w:keepLines w:val="0"/>
              <w:pageBreakBefore w:val="0"/>
              <w:widowControl w:val="0"/>
              <w:kinsoku/>
              <w:wordWrap/>
              <w:overflowPunct/>
              <w:topLinePunct w:val="0"/>
              <w:autoSpaceDE/>
              <w:autoSpaceDN/>
              <w:bidi w:val="0"/>
              <w:adjustRightInd/>
              <w:snapToGrid/>
              <w:ind w:left="0"/>
              <w:jc w:val="left"/>
              <w:textAlignment w:val="auto"/>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lang w:val="en-US" w:eastAsia="zh-CN"/>
              </w:rPr>
              <w:t>针对医院指定的3个等保定级系统开展数据分类分级工作，根据数据分类分级情况对数据资源进行分类分级标识，输出医院定级系统数据分类分级清单。清单内容至少包括所属部门、所在系统、数据类型、安全等级、内容描述、数据量、保存位置、保存期限、数据处理情况（数据处理目的、数据处理所涉及的信息系统）、数据对外提供情况（共享转让、公开披露）。</w:t>
            </w:r>
          </w:p>
          <w:p>
            <w:pPr>
              <w:keepNext w:val="0"/>
              <w:keepLines w:val="0"/>
              <w:pageBreakBefore w:val="0"/>
              <w:widowControl w:val="0"/>
              <w:kinsoku/>
              <w:wordWrap/>
              <w:overflowPunct/>
              <w:topLinePunct w:val="0"/>
              <w:autoSpaceDE/>
              <w:autoSpaceDN/>
              <w:bidi w:val="0"/>
              <w:adjustRightInd/>
              <w:snapToGrid/>
              <w:ind w:left="0"/>
              <w:jc w:val="left"/>
              <w:textAlignment w:val="auto"/>
              <w:outlineLvl w:val="9"/>
              <w:rPr>
                <w:rFonts w:hint="eastAsia" w:ascii="宋体" w:hAnsi="宋体" w:eastAsia="宋体" w:cs="宋体"/>
                <w:sz w:val="20"/>
                <w:szCs w:val="20"/>
                <w:highlight w:val="none"/>
                <w:lang w:val="en-US" w:eastAsia="zh-CN" w:bidi="ar"/>
              </w:rPr>
            </w:pPr>
            <w:r>
              <w:rPr>
                <w:rFonts w:hint="eastAsia" w:ascii="宋体" w:hAnsi="宋体" w:eastAsia="宋体" w:cs="宋体"/>
                <w:sz w:val="20"/>
                <w:szCs w:val="20"/>
                <w:highlight w:val="none"/>
                <w:lang w:bidi="ar"/>
              </w:rPr>
              <w:t>服务频次：</w:t>
            </w:r>
            <w:r>
              <w:rPr>
                <w:rFonts w:hint="eastAsia" w:ascii="宋体" w:hAnsi="宋体" w:eastAsia="宋体" w:cs="宋体"/>
                <w:sz w:val="20"/>
                <w:szCs w:val="20"/>
                <w:highlight w:val="none"/>
                <w:lang w:val="en-US" w:eastAsia="zh-CN" w:bidi="ar"/>
              </w:rPr>
              <w:t>1年1次</w:t>
            </w:r>
          </w:p>
          <w:p>
            <w:pPr>
              <w:keepNext w:val="0"/>
              <w:keepLines w:val="0"/>
              <w:pageBreakBefore w:val="0"/>
              <w:widowControl w:val="0"/>
              <w:kinsoku/>
              <w:wordWrap/>
              <w:overflowPunct/>
              <w:topLinePunct w:val="0"/>
              <w:autoSpaceDE/>
              <w:autoSpaceDN/>
              <w:bidi w:val="0"/>
              <w:adjustRightInd/>
              <w:snapToGrid/>
              <w:ind w:left="0" w:leftChars="0"/>
              <w:jc w:val="left"/>
              <w:textAlignment w:val="auto"/>
              <w:rPr>
                <w:rFonts w:hint="eastAsia"/>
                <w:color w:val="FF0000"/>
                <w:highlight w:val="none"/>
              </w:rPr>
            </w:pPr>
            <w:r>
              <w:rPr>
                <w:rFonts w:hint="eastAsia" w:ascii="宋体" w:hAnsi="宋体" w:eastAsia="宋体" w:cs="宋体"/>
                <w:kern w:val="0"/>
                <w:sz w:val="20"/>
                <w:szCs w:val="20"/>
                <w:highlight w:val="none"/>
                <w:lang w:val="en-US" w:eastAsia="zh-CN"/>
              </w:rPr>
              <w:t>服务交付物（按服务频次提供）：《数据分类分级清单》《重要数据目录》。</w:t>
            </w:r>
          </w:p>
        </w:tc>
        <w:tc>
          <w:tcPr>
            <w:tcW w:w="1175" w:type="dxa"/>
            <w:shd w:val="clear" w:color="auto" w:fill="FFFFFF"/>
            <w:vAlign w:val="top"/>
          </w:tcPr>
          <w:p>
            <w:pPr>
              <w:keepNext w:val="0"/>
              <w:keepLines w:val="0"/>
              <w:pageBreakBefore w:val="0"/>
              <w:widowControl w:val="0"/>
              <w:kinsoku/>
              <w:wordWrap/>
              <w:overflowPunct/>
              <w:topLinePunct w:val="0"/>
              <w:autoSpaceDE/>
              <w:autoSpaceDN/>
              <w:bidi w:val="0"/>
              <w:adjustRightInd/>
              <w:snapToGrid/>
              <w:ind w:left="0" w:leftChars="0"/>
              <w:jc w:val="left"/>
              <w:textAlignment w:val="auto"/>
              <w:rPr>
                <w:rFonts w:hint="eastAsia" w:ascii="宋体" w:hAnsi="宋体" w:eastAsia="宋体" w:cs="宋体"/>
                <w:kern w:val="0"/>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eastAsia="宋体" w:cs="宋体"/>
                <w:sz w:val="20"/>
                <w:szCs w:val="20"/>
                <w:highlight w:val="none"/>
                <w:lang w:bidi="ar"/>
              </w:rPr>
            </w:pPr>
            <w:r>
              <w:rPr>
                <w:rFonts w:ascii="宋体" w:hAnsi="宋体" w:cs="宋体"/>
                <w:sz w:val="20"/>
                <w:szCs w:val="20"/>
                <w:highlight w:val="none"/>
                <w:lang w:bidi="ar"/>
              </w:rPr>
              <w:t>2</w:t>
            </w:r>
            <w:r>
              <w:rPr>
                <w:rFonts w:hint="eastAsia" w:ascii="宋体" w:hAnsi="宋体" w:cs="宋体"/>
                <w:sz w:val="20"/>
                <w:szCs w:val="20"/>
                <w:highlight w:val="none"/>
                <w:lang w:bidi="ar"/>
              </w:rPr>
              <w:t>3</w:t>
            </w:r>
          </w:p>
        </w:tc>
        <w:tc>
          <w:tcPr>
            <w:tcW w:w="1260" w:type="dxa"/>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sz w:val="20"/>
                <w:szCs w:val="20"/>
                <w:highlight w:val="none"/>
              </w:rPr>
            </w:pPr>
            <w:r>
              <w:rPr>
                <w:rFonts w:hint="eastAsia" w:ascii="宋体" w:hAnsi="宋体" w:eastAsia="宋体" w:cs="宋体"/>
                <w:kern w:val="0"/>
                <w:sz w:val="20"/>
                <w:szCs w:val="20"/>
                <w:highlight w:val="none"/>
                <w:lang w:val="en-US" w:eastAsia="zh-CN"/>
              </w:rPr>
              <w:t>数据安全评估服务</w:t>
            </w:r>
          </w:p>
        </w:tc>
        <w:tc>
          <w:tcPr>
            <w:tcW w:w="4946" w:type="dxa"/>
            <w:vAlign w:val="top"/>
          </w:tcPr>
          <w:p>
            <w:pPr>
              <w:keepNext w:val="0"/>
              <w:keepLines w:val="0"/>
              <w:pageBreakBefore w:val="0"/>
              <w:widowControl w:val="0"/>
              <w:kinsoku/>
              <w:wordWrap/>
              <w:overflowPunct/>
              <w:topLinePunct w:val="0"/>
              <w:autoSpaceDE/>
              <w:autoSpaceDN/>
              <w:bidi w:val="0"/>
              <w:adjustRightInd/>
              <w:snapToGrid/>
              <w:ind w:left="0"/>
              <w:jc w:val="left"/>
              <w:textAlignment w:val="auto"/>
              <w:outlineLvl w:val="9"/>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每年对指定的1套业务系统开展数据安全评估工作，覆盖医院数据全生命周期安全管控情况，包括处理的重要数据的种类、数量，开展数据处理活动的情况，面临的数据安全风险及其应对措施等生命周期各环节安全措施配套情况等，并形成《数据安全评估报告》，并提出数据安全风险加固建议。</w:t>
            </w:r>
          </w:p>
          <w:p>
            <w:pPr>
              <w:keepNext w:val="0"/>
              <w:keepLines w:val="0"/>
              <w:pageBreakBefore w:val="0"/>
              <w:widowControl w:val="0"/>
              <w:kinsoku/>
              <w:wordWrap/>
              <w:overflowPunct/>
              <w:topLinePunct w:val="0"/>
              <w:autoSpaceDE/>
              <w:autoSpaceDN/>
              <w:bidi w:val="0"/>
              <w:adjustRightInd/>
              <w:snapToGrid/>
              <w:ind w:left="0"/>
              <w:jc w:val="left"/>
              <w:textAlignment w:val="auto"/>
              <w:outlineLvl w:val="9"/>
              <w:rPr>
                <w:rFonts w:hint="eastAsia" w:ascii="宋体" w:hAnsi="宋体" w:eastAsia="宋体" w:cs="宋体"/>
                <w:sz w:val="20"/>
                <w:szCs w:val="20"/>
                <w:highlight w:val="none"/>
                <w:lang w:val="en-US" w:eastAsia="zh-CN" w:bidi="ar"/>
              </w:rPr>
            </w:pPr>
            <w:r>
              <w:rPr>
                <w:rFonts w:hint="eastAsia" w:ascii="宋体" w:hAnsi="宋体" w:eastAsia="宋体" w:cs="宋体"/>
                <w:sz w:val="20"/>
                <w:szCs w:val="20"/>
                <w:highlight w:val="none"/>
                <w:lang w:bidi="ar"/>
              </w:rPr>
              <w:t>服务频次：</w:t>
            </w:r>
            <w:r>
              <w:rPr>
                <w:rFonts w:hint="eastAsia" w:ascii="宋体" w:hAnsi="宋体" w:eastAsia="宋体" w:cs="宋体"/>
                <w:sz w:val="20"/>
                <w:szCs w:val="20"/>
                <w:highlight w:val="none"/>
                <w:lang w:val="en-US" w:eastAsia="zh-CN" w:bidi="ar"/>
              </w:rPr>
              <w:t>1年1次</w:t>
            </w:r>
          </w:p>
          <w:p>
            <w:pPr>
              <w:keepNext w:val="0"/>
              <w:keepLines w:val="0"/>
              <w:pageBreakBefore w:val="0"/>
              <w:kinsoku/>
              <w:wordWrap/>
              <w:overflowPunct/>
              <w:topLinePunct w:val="0"/>
              <w:autoSpaceDE/>
              <w:autoSpaceDN/>
              <w:bidi w:val="0"/>
              <w:ind w:left="0" w:leftChars="0"/>
              <w:jc w:val="left"/>
              <w:textAlignment w:val="auto"/>
              <w:rPr>
                <w:rFonts w:hint="eastAsia" w:ascii="宋体" w:hAnsi="宋体" w:cs="宋体"/>
                <w:sz w:val="20"/>
                <w:szCs w:val="20"/>
                <w:highlight w:val="none"/>
                <w:lang w:bidi="ar"/>
              </w:rPr>
            </w:pPr>
            <w:r>
              <w:rPr>
                <w:rFonts w:hint="eastAsia" w:ascii="宋体" w:hAnsi="宋体" w:eastAsia="宋体" w:cs="宋体"/>
                <w:kern w:val="0"/>
                <w:sz w:val="20"/>
                <w:szCs w:val="20"/>
                <w:highlight w:val="none"/>
                <w:lang w:val="en-US" w:eastAsia="zh-CN"/>
              </w:rPr>
              <w:t>服务交付物（按服务频次提供）：《数据安全评估报告》。</w:t>
            </w:r>
          </w:p>
        </w:tc>
        <w:tc>
          <w:tcPr>
            <w:tcW w:w="1175" w:type="dxa"/>
            <w:vAlign w:val="top"/>
          </w:tcPr>
          <w:p>
            <w:pPr>
              <w:keepNext w:val="0"/>
              <w:keepLines w:val="0"/>
              <w:pageBreakBefore w:val="0"/>
              <w:kinsoku/>
              <w:wordWrap/>
              <w:overflowPunct/>
              <w:topLinePunct w:val="0"/>
              <w:autoSpaceDE/>
              <w:autoSpaceDN/>
              <w:bidi w:val="0"/>
              <w:ind w:left="0" w:leftChars="0"/>
              <w:jc w:val="left"/>
              <w:textAlignment w:val="auto"/>
              <w:rPr>
                <w:rFonts w:hint="eastAsia" w:ascii="宋体" w:hAnsi="宋体" w:eastAsia="宋体" w:cs="宋体"/>
                <w:kern w:val="0"/>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pPr>
              <w:keepNext w:val="0"/>
              <w:keepLines w:val="0"/>
              <w:pageBreakBefore w:val="0"/>
              <w:widowControl w:val="0"/>
              <w:kinsoku/>
              <w:wordWrap/>
              <w:overflowPunct/>
              <w:topLinePunct w:val="0"/>
              <w:autoSpaceDE/>
              <w:autoSpaceDN/>
              <w:bidi w:val="0"/>
              <w:adjustRightInd/>
              <w:snapToGrid/>
              <w:ind w:left="0" w:firstLine="0"/>
              <w:jc w:val="center"/>
              <w:textAlignment w:val="auto"/>
              <w:outlineLvl w:val="9"/>
              <w:rPr>
                <w:rFonts w:hint="eastAsia" w:ascii="宋体" w:hAnsi="宋体" w:cs="宋体"/>
                <w:strike/>
                <w:dstrike w:val="0"/>
                <w:sz w:val="20"/>
                <w:szCs w:val="20"/>
                <w:highlight w:val="none"/>
                <w:lang w:bidi="ar"/>
              </w:rPr>
            </w:pPr>
            <w:r>
              <w:rPr>
                <w:rFonts w:ascii="宋体" w:hAnsi="宋体" w:cs="宋体"/>
                <w:sz w:val="20"/>
                <w:szCs w:val="20"/>
                <w:highlight w:val="none"/>
                <w:lang w:bidi="ar"/>
              </w:rPr>
              <w:t>24</w:t>
            </w:r>
          </w:p>
        </w:tc>
        <w:tc>
          <w:tcPr>
            <w:tcW w:w="1260" w:type="dxa"/>
            <w:vAlign w:val="center"/>
          </w:tcPr>
          <w:p>
            <w:pPr>
              <w:keepNext w:val="0"/>
              <w:keepLines w:val="0"/>
              <w:pageBreakBefore w:val="0"/>
              <w:widowControl/>
              <w:kinsoku/>
              <w:wordWrap/>
              <w:overflowPunct/>
              <w:topLinePunct w:val="0"/>
              <w:autoSpaceDE/>
              <w:autoSpaceDN/>
              <w:bidi w:val="0"/>
              <w:ind w:left="0" w:leftChars="0"/>
              <w:textAlignment w:val="auto"/>
              <w:rPr>
                <w:rFonts w:hint="eastAsia" w:ascii="宋体" w:hAnsi="宋体" w:eastAsia="宋体" w:cs="宋体"/>
                <w:strike/>
                <w:dstrike w:val="0"/>
                <w:sz w:val="20"/>
                <w:szCs w:val="20"/>
                <w:highlight w:val="none"/>
              </w:rPr>
            </w:pPr>
            <w:r>
              <w:rPr>
                <w:rFonts w:hint="eastAsia" w:ascii="宋体" w:hAnsi="宋体" w:cs="宋体"/>
                <w:kern w:val="0"/>
                <w:sz w:val="20"/>
                <w:szCs w:val="20"/>
                <w:highlight w:val="none"/>
              </w:rPr>
              <w:t>小程序安全检测服务</w:t>
            </w:r>
          </w:p>
        </w:tc>
        <w:tc>
          <w:tcPr>
            <w:tcW w:w="4946" w:type="dxa"/>
            <w:vAlign w:val="center"/>
          </w:tcPr>
          <w:p>
            <w:pPr>
              <w:keepNext w:val="0"/>
              <w:keepLines w:val="0"/>
              <w:pageBreakBefore w:val="0"/>
              <w:widowControl/>
              <w:kinsoku/>
              <w:wordWrap/>
              <w:overflowPunct/>
              <w:topLinePunct w:val="0"/>
              <w:autoSpaceDE/>
              <w:autoSpaceDN/>
              <w:bidi w:val="0"/>
              <w:ind w:left="0"/>
              <w:jc w:val="left"/>
              <w:textAlignment w:val="auto"/>
              <w:rPr>
                <w:rFonts w:hint="eastAsia" w:ascii="宋体" w:hAnsi="宋体" w:cs="宋体" w:eastAsiaTheme="minorEastAsia"/>
                <w:kern w:val="0"/>
                <w:sz w:val="20"/>
                <w:szCs w:val="20"/>
                <w:highlight w:val="none"/>
                <w:lang w:eastAsia="zh-CN"/>
              </w:rPr>
            </w:pPr>
            <w:r>
              <w:rPr>
                <w:rFonts w:hint="eastAsia" w:ascii="宋体" w:hAnsi="宋体" w:cs="宋体"/>
                <w:kern w:val="0"/>
                <w:sz w:val="20"/>
                <w:szCs w:val="20"/>
                <w:highlight w:val="none"/>
              </w:rPr>
              <w:t>对采购人所有微信小程序进行安全检测，识别是否存在漏洞、后门等</w:t>
            </w:r>
            <w:r>
              <w:rPr>
                <w:rFonts w:hint="eastAsia" w:ascii="宋体" w:hAnsi="宋体" w:cs="宋体"/>
                <w:kern w:val="0"/>
                <w:sz w:val="20"/>
                <w:szCs w:val="20"/>
                <w:highlight w:val="none"/>
                <w:lang w:eastAsia="zh-CN"/>
              </w:rPr>
              <w:t>。</w:t>
            </w:r>
          </w:p>
          <w:p>
            <w:pPr>
              <w:keepNext w:val="0"/>
              <w:keepLines w:val="0"/>
              <w:pageBreakBefore w:val="0"/>
              <w:widowControl/>
              <w:kinsoku/>
              <w:wordWrap/>
              <w:overflowPunct/>
              <w:topLinePunct w:val="0"/>
              <w:autoSpaceDE/>
              <w:autoSpaceDN/>
              <w:bidi w:val="0"/>
              <w:ind w:left="0"/>
              <w:jc w:val="left"/>
              <w:textAlignment w:val="auto"/>
              <w:rPr>
                <w:rFonts w:hint="eastAsia" w:ascii="宋体" w:hAnsi="宋体" w:cs="宋体"/>
                <w:kern w:val="0"/>
                <w:sz w:val="20"/>
                <w:szCs w:val="20"/>
                <w:highlight w:val="none"/>
              </w:rPr>
            </w:pPr>
            <w:r>
              <w:rPr>
                <w:rFonts w:hint="eastAsia" w:ascii="宋体" w:hAnsi="宋体" w:cs="宋体"/>
                <w:kern w:val="0"/>
                <w:sz w:val="20"/>
                <w:szCs w:val="20"/>
                <w:highlight w:val="none"/>
              </w:rPr>
              <w:t>服务频次：1年2次</w:t>
            </w:r>
          </w:p>
          <w:p>
            <w:pPr>
              <w:keepNext w:val="0"/>
              <w:keepLines w:val="0"/>
              <w:pageBreakBefore w:val="0"/>
              <w:widowControl/>
              <w:kinsoku/>
              <w:wordWrap/>
              <w:overflowPunct/>
              <w:topLinePunct w:val="0"/>
              <w:autoSpaceDE/>
              <w:autoSpaceDN/>
              <w:bidi w:val="0"/>
              <w:ind w:left="0" w:leftChars="0"/>
              <w:jc w:val="left"/>
              <w:textAlignment w:val="auto"/>
              <w:rPr>
                <w:rFonts w:hint="eastAsia" w:ascii="宋体" w:hAnsi="宋体" w:eastAsia="宋体" w:cs="宋体"/>
                <w:strike/>
                <w:dstrike w:val="0"/>
                <w:sz w:val="20"/>
                <w:szCs w:val="20"/>
                <w:highlight w:val="none"/>
              </w:rPr>
            </w:pPr>
            <w:r>
              <w:rPr>
                <w:rFonts w:hint="eastAsia" w:ascii="宋体" w:hAnsi="宋体" w:cs="宋体"/>
                <w:kern w:val="0"/>
                <w:sz w:val="20"/>
                <w:szCs w:val="20"/>
                <w:highlight w:val="none"/>
              </w:rPr>
              <w:t>服务交付物</w:t>
            </w:r>
            <w:r>
              <w:rPr>
                <w:rFonts w:hint="eastAsia" w:ascii="宋体" w:hAnsi="宋体" w:cs="宋体"/>
                <w:sz w:val="20"/>
                <w:szCs w:val="20"/>
                <w:highlight w:val="none"/>
                <w:lang w:bidi="ar"/>
              </w:rPr>
              <w:t>（按服务频次提供）</w:t>
            </w:r>
            <w:r>
              <w:rPr>
                <w:rFonts w:hint="eastAsia" w:ascii="宋体" w:hAnsi="宋体" w:cs="宋体"/>
                <w:kern w:val="0"/>
                <w:sz w:val="20"/>
                <w:szCs w:val="20"/>
                <w:highlight w:val="none"/>
              </w:rPr>
              <w:t>：《移动小程序安全检测报告》</w:t>
            </w:r>
          </w:p>
        </w:tc>
        <w:tc>
          <w:tcPr>
            <w:tcW w:w="1175" w:type="dxa"/>
            <w:vAlign w:val="center"/>
          </w:tcPr>
          <w:p>
            <w:pPr>
              <w:keepNext w:val="0"/>
              <w:keepLines w:val="0"/>
              <w:pageBreakBefore w:val="0"/>
              <w:widowControl/>
              <w:kinsoku/>
              <w:wordWrap/>
              <w:overflowPunct/>
              <w:topLinePunct w:val="0"/>
              <w:autoSpaceDE/>
              <w:autoSpaceDN/>
              <w:bidi w:val="0"/>
              <w:ind w:left="0" w:leftChars="0"/>
              <w:jc w:val="left"/>
              <w:textAlignment w:val="auto"/>
              <w:rPr>
                <w:rFonts w:hint="eastAsia" w:ascii="宋体" w:hAnsi="宋体" w:cs="宋体"/>
                <w:kern w:val="0"/>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04" w:type="dxa"/>
            <w:vAlign w:val="center"/>
          </w:tcPr>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eastAsia" w:ascii="宋体" w:hAnsi="宋体" w:cs="宋体" w:eastAsiaTheme="minorEastAsia"/>
                <w:color w:val="000000" w:themeColor="text1"/>
                <w:sz w:val="20"/>
                <w:szCs w:val="20"/>
                <w:highlight w:val="none"/>
                <w:lang w:val="en-US" w:eastAsia="zh-CN" w:bidi="ar"/>
                <w14:textFill>
                  <w14:solidFill>
                    <w14:schemeClr w14:val="tx1"/>
                  </w14:solidFill>
                </w14:textFill>
              </w:rPr>
            </w:pPr>
            <w:r>
              <w:rPr>
                <w:rFonts w:ascii="宋体" w:hAnsi="宋体" w:cs="宋体"/>
                <w:strike w:val="0"/>
                <w:dstrike w:val="0"/>
                <w:color w:val="000000" w:themeColor="text1"/>
                <w:sz w:val="20"/>
                <w:szCs w:val="20"/>
                <w:highlight w:val="none"/>
                <w:lang w:bidi="ar"/>
                <w14:textFill>
                  <w14:solidFill>
                    <w14:schemeClr w14:val="tx1"/>
                  </w14:solidFill>
                </w14:textFill>
              </w:rPr>
              <w:t>2</w:t>
            </w:r>
            <w:r>
              <w:rPr>
                <w:rFonts w:hint="eastAsia" w:ascii="宋体" w:hAnsi="宋体" w:cs="宋体"/>
                <w:strike w:val="0"/>
                <w:dstrike w:val="0"/>
                <w:color w:val="000000" w:themeColor="text1"/>
                <w:sz w:val="20"/>
                <w:szCs w:val="20"/>
                <w:highlight w:val="none"/>
                <w:lang w:val="en-US" w:eastAsia="zh-CN" w:bidi="ar"/>
                <w14:textFill>
                  <w14:solidFill>
                    <w14:schemeClr w14:val="tx1"/>
                  </w14:solidFill>
                </w14:textFill>
              </w:rPr>
              <w:t>5</w:t>
            </w:r>
          </w:p>
        </w:tc>
        <w:tc>
          <w:tcPr>
            <w:tcW w:w="1260" w:type="dxa"/>
            <w:vAlign w:val="center"/>
          </w:tcPr>
          <w:p>
            <w:pPr>
              <w:keepNext w:val="0"/>
              <w:keepLines w:val="0"/>
              <w:pageBreakBefore w:val="0"/>
              <w:kinsoku/>
              <w:wordWrap/>
              <w:overflowPunct/>
              <w:topLinePunct w:val="0"/>
              <w:autoSpaceDE/>
              <w:autoSpaceDN/>
              <w:bidi w:val="0"/>
              <w:ind w:left="0" w:leftChars="0"/>
              <w:textAlignment w:val="auto"/>
              <w:rPr>
                <w:rFonts w:hint="eastAsia" w:ascii="宋体" w:hAnsi="宋体" w:cs="宋体"/>
                <w:color w:val="000000" w:themeColor="text1"/>
                <w:kern w:val="0"/>
                <w:sz w:val="20"/>
                <w:szCs w:val="20"/>
                <w:highlight w:val="none"/>
                <w14:textFill>
                  <w14:solidFill>
                    <w14:schemeClr w14:val="tx1"/>
                  </w14:solidFill>
                </w14:textFill>
              </w:rPr>
            </w:pPr>
            <w:r>
              <w:rPr>
                <w:rFonts w:hint="eastAsia" w:ascii="宋体" w:hAnsi="宋体" w:cs="宋体"/>
                <w:strike w:val="0"/>
                <w:dstrike w:val="0"/>
                <w:color w:val="000000" w:themeColor="text1"/>
                <w:sz w:val="20"/>
                <w:szCs w:val="20"/>
                <w:highlight w:val="none"/>
                <w:lang w:bidi="ar"/>
                <w14:textFill>
                  <w14:solidFill>
                    <w14:schemeClr w14:val="tx1"/>
                  </w14:solidFill>
                </w14:textFill>
              </w:rPr>
              <w:t>网络准入</w:t>
            </w:r>
            <w:r>
              <w:rPr>
                <w:rFonts w:hint="eastAsia" w:ascii="宋体" w:hAnsi="宋体" w:cs="宋体"/>
                <w:strike w:val="0"/>
                <w:dstrike w:val="0"/>
                <w:color w:val="000000" w:themeColor="text1"/>
                <w:sz w:val="20"/>
                <w:szCs w:val="20"/>
                <w:highlight w:val="none"/>
                <w:lang w:val="en-US" w:eastAsia="zh-CN" w:bidi="ar"/>
                <w14:textFill>
                  <w14:solidFill>
                    <w14:schemeClr w14:val="tx1"/>
                  </w14:solidFill>
                </w14:textFill>
              </w:rPr>
              <w:t>及网络终端准入</w:t>
            </w:r>
            <w:r>
              <w:rPr>
                <w:rFonts w:hint="eastAsia" w:ascii="宋体" w:hAnsi="宋体" w:cs="宋体"/>
                <w:strike w:val="0"/>
                <w:dstrike w:val="0"/>
                <w:color w:val="000000" w:themeColor="text1"/>
                <w:sz w:val="20"/>
                <w:szCs w:val="20"/>
                <w:highlight w:val="none"/>
                <w:lang w:bidi="ar"/>
                <w14:textFill>
                  <w14:solidFill>
                    <w14:schemeClr w14:val="tx1"/>
                  </w14:solidFill>
                </w14:textFill>
              </w:rPr>
              <w:t>维护</w:t>
            </w:r>
          </w:p>
        </w:tc>
        <w:tc>
          <w:tcPr>
            <w:tcW w:w="4946" w:type="dxa"/>
            <w:vAlign w:val="top"/>
          </w:tcPr>
          <w:p>
            <w:pPr>
              <w:keepNext w:val="0"/>
              <w:keepLines w:val="0"/>
              <w:pageBreakBefore w:val="0"/>
              <w:kinsoku/>
              <w:wordWrap/>
              <w:overflowPunct/>
              <w:topLinePunct w:val="0"/>
              <w:autoSpaceDE/>
              <w:autoSpaceDN/>
              <w:bidi w:val="0"/>
              <w:ind w:left="0"/>
              <w:jc w:val="left"/>
              <w:textAlignment w:val="auto"/>
              <w:rPr>
                <w:rFonts w:hint="eastAsia" w:ascii="宋体" w:hAnsi="宋体" w:cs="宋体"/>
                <w:strike w:val="0"/>
                <w:dstrike w:val="0"/>
                <w:color w:val="000000" w:themeColor="text1"/>
                <w:sz w:val="20"/>
                <w:szCs w:val="20"/>
                <w:highlight w:val="none"/>
                <w:lang w:bidi="ar"/>
                <w14:textFill>
                  <w14:solidFill>
                    <w14:schemeClr w14:val="tx1"/>
                  </w14:solidFill>
                </w14:textFill>
              </w:rPr>
            </w:pPr>
            <w:r>
              <w:rPr>
                <w:rFonts w:hint="eastAsia" w:ascii="宋体" w:hAnsi="宋体" w:cs="宋体"/>
                <w:strike w:val="0"/>
                <w:dstrike w:val="0"/>
                <w:color w:val="000000" w:themeColor="text1"/>
                <w:sz w:val="20"/>
                <w:szCs w:val="20"/>
                <w:highlight w:val="none"/>
                <w:lang w:val="en-US" w:eastAsia="zh-CN" w:bidi="ar"/>
                <w14:textFill>
                  <w14:solidFill>
                    <w14:schemeClr w14:val="tx1"/>
                  </w14:solidFill>
                </w14:textFill>
              </w:rPr>
              <w:t>梳理世安网络准入系统及世安终端准入系统的所有资产信息，线下核对系统的准入资产，线上更新到系统，保证系统数据信息准确。</w:t>
            </w:r>
          </w:p>
          <w:p>
            <w:pPr>
              <w:keepNext w:val="0"/>
              <w:keepLines w:val="0"/>
              <w:pageBreakBefore w:val="0"/>
              <w:kinsoku/>
              <w:wordWrap/>
              <w:overflowPunct/>
              <w:topLinePunct w:val="0"/>
              <w:autoSpaceDE/>
              <w:autoSpaceDN/>
              <w:bidi w:val="0"/>
              <w:ind w:left="0"/>
              <w:jc w:val="left"/>
              <w:textAlignment w:val="auto"/>
              <w:rPr>
                <w:rFonts w:hint="default" w:ascii="宋体" w:hAnsi="宋体" w:cs="宋体"/>
                <w:strike w:val="0"/>
                <w:dstrike w:val="0"/>
                <w:color w:val="000000" w:themeColor="text1"/>
                <w:sz w:val="20"/>
                <w:szCs w:val="20"/>
                <w:highlight w:val="none"/>
                <w:lang w:val="en-US" w:bidi="ar"/>
                <w14:textFill>
                  <w14:solidFill>
                    <w14:schemeClr w14:val="tx1"/>
                  </w14:solidFill>
                </w14:textFill>
              </w:rPr>
            </w:pPr>
            <w:r>
              <w:rPr>
                <w:rFonts w:hint="eastAsia" w:ascii="宋体" w:hAnsi="宋体" w:cs="宋体"/>
                <w:strike w:val="0"/>
                <w:dstrike w:val="0"/>
                <w:color w:val="000000" w:themeColor="text1"/>
                <w:sz w:val="20"/>
                <w:szCs w:val="20"/>
                <w:highlight w:val="none"/>
                <w:lang w:bidi="ar"/>
                <w14:textFill>
                  <w14:solidFill>
                    <w14:schemeClr w14:val="tx1"/>
                  </w14:solidFill>
                </w14:textFill>
              </w:rPr>
              <w:t>服务频次：</w:t>
            </w:r>
            <w:r>
              <w:rPr>
                <w:rFonts w:hint="eastAsia" w:ascii="宋体" w:hAnsi="宋体" w:cs="宋体"/>
                <w:strike w:val="0"/>
                <w:dstrike w:val="0"/>
                <w:color w:val="000000" w:themeColor="text1"/>
                <w:sz w:val="20"/>
                <w:szCs w:val="20"/>
                <w:highlight w:val="none"/>
                <w:lang w:val="en-US" w:eastAsia="zh-CN" w:bidi="ar"/>
                <w14:textFill>
                  <w14:solidFill>
                    <w14:schemeClr w14:val="tx1"/>
                  </w14:solidFill>
                </w14:textFill>
              </w:rPr>
              <w:t>每半年一次</w:t>
            </w:r>
          </w:p>
          <w:p>
            <w:pPr>
              <w:keepNext w:val="0"/>
              <w:keepLines w:val="0"/>
              <w:pageBreakBefore w:val="0"/>
              <w:kinsoku/>
              <w:wordWrap/>
              <w:overflowPunct/>
              <w:topLinePunct w:val="0"/>
              <w:autoSpaceDE/>
              <w:autoSpaceDN/>
              <w:bidi w:val="0"/>
              <w:ind w:left="0" w:leftChars="0"/>
              <w:jc w:val="left"/>
              <w:textAlignment w:val="auto"/>
              <w:rPr>
                <w:rFonts w:hint="default" w:ascii="宋体" w:hAnsi="宋体" w:cs="宋体"/>
                <w:color w:val="000000" w:themeColor="text1"/>
                <w:kern w:val="0"/>
                <w:sz w:val="20"/>
                <w:szCs w:val="20"/>
                <w:highlight w:val="none"/>
                <w:lang w:val="en-US"/>
                <w14:textFill>
                  <w14:solidFill>
                    <w14:schemeClr w14:val="tx1"/>
                  </w14:solidFill>
                </w14:textFill>
              </w:rPr>
            </w:pPr>
            <w:r>
              <w:rPr>
                <w:rFonts w:hint="eastAsia" w:ascii="宋体" w:hAnsi="宋体" w:cs="宋体"/>
                <w:strike w:val="0"/>
                <w:dstrike w:val="0"/>
                <w:color w:val="000000" w:themeColor="text1"/>
                <w:sz w:val="20"/>
                <w:szCs w:val="20"/>
                <w:highlight w:val="none"/>
                <w:lang w:bidi="ar"/>
                <w14:textFill>
                  <w14:solidFill>
                    <w14:schemeClr w14:val="tx1"/>
                  </w14:solidFill>
                </w14:textFill>
              </w:rPr>
              <w:t>服务交付物：</w:t>
            </w:r>
            <w:r>
              <w:rPr>
                <w:rFonts w:hint="eastAsia" w:ascii="宋体" w:hAnsi="宋体" w:cs="宋体"/>
                <w:strike w:val="0"/>
                <w:dstrike w:val="0"/>
                <w:color w:val="000000" w:themeColor="text1"/>
                <w:sz w:val="20"/>
                <w:szCs w:val="20"/>
                <w:highlight w:val="none"/>
                <w:lang w:val="en-US" w:eastAsia="zh-CN" w:bidi="ar"/>
                <w14:textFill>
                  <w14:solidFill>
                    <w14:schemeClr w14:val="tx1"/>
                  </w14:solidFill>
                </w14:textFill>
              </w:rPr>
              <w:t>完善世安网络准入系统及世安终端准入系统的所有准入的设备资产信息。</w:t>
            </w:r>
          </w:p>
        </w:tc>
        <w:tc>
          <w:tcPr>
            <w:tcW w:w="1175" w:type="dxa"/>
            <w:vAlign w:val="center"/>
          </w:tcPr>
          <w:p>
            <w:pPr>
              <w:keepNext w:val="0"/>
              <w:keepLines w:val="0"/>
              <w:pageBreakBefore w:val="0"/>
              <w:widowControl/>
              <w:kinsoku/>
              <w:wordWrap/>
              <w:overflowPunct/>
              <w:topLinePunct w:val="0"/>
              <w:autoSpaceDE/>
              <w:autoSpaceDN/>
              <w:bidi w:val="0"/>
              <w:ind w:left="0" w:leftChars="0"/>
              <w:jc w:val="left"/>
              <w:textAlignment w:val="auto"/>
              <w:rPr>
                <w:rFonts w:hint="eastAsia" w:ascii="宋体" w:hAnsi="宋体" w:cs="宋体"/>
                <w:color w:val="000000" w:themeColor="text1"/>
                <w:kern w:val="0"/>
                <w:sz w:val="20"/>
                <w:szCs w:val="20"/>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910" w:type="dxa"/>
            <w:gridSpan w:val="3"/>
            <w:vAlign w:val="center"/>
          </w:tcPr>
          <w:p>
            <w:pPr>
              <w:keepNext w:val="0"/>
              <w:keepLines w:val="0"/>
              <w:pageBreakBefore w:val="0"/>
              <w:widowControl/>
              <w:kinsoku/>
              <w:wordWrap/>
              <w:overflowPunct/>
              <w:topLinePunct w:val="0"/>
              <w:autoSpaceDE/>
              <w:autoSpaceDN/>
              <w:bidi w:val="0"/>
              <w:ind w:left="0" w:leftChars="0"/>
              <w:jc w:val="left"/>
              <w:textAlignment w:val="auto"/>
              <w:rPr>
                <w:rFonts w:hint="eastAsia" w:ascii="宋体" w:hAnsi="宋体" w:cs="宋体" w:eastAsiaTheme="minorEastAsia"/>
                <w:kern w:val="0"/>
                <w:sz w:val="20"/>
                <w:szCs w:val="20"/>
                <w:highlight w:val="none"/>
                <w:lang w:val="en-US" w:eastAsia="zh-CN"/>
              </w:rPr>
            </w:pPr>
            <w:r>
              <w:rPr>
                <w:rFonts w:hint="eastAsia" w:ascii="宋体" w:hAnsi="宋体" w:cs="宋体"/>
                <w:b/>
                <w:bCs/>
                <w:kern w:val="0"/>
                <w:sz w:val="20"/>
                <w:szCs w:val="20"/>
                <w:highlight w:val="none"/>
                <w:lang w:val="en-US" w:eastAsia="zh-CN"/>
              </w:rPr>
              <w:t>服务总额（含税）：</w:t>
            </w:r>
          </w:p>
        </w:tc>
        <w:tc>
          <w:tcPr>
            <w:tcW w:w="1175" w:type="dxa"/>
            <w:vAlign w:val="center"/>
          </w:tcPr>
          <w:p>
            <w:pPr>
              <w:keepNext w:val="0"/>
              <w:keepLines w:val="0"/>
              <w:pageBreakBefore w:val="0"/>
              <w:widowControl/>
              <w:kinsoku/>
              <w:wordWrap/>
              <w:overflowPunct/>
              <w:topLinePunct w:val="0"/>
              <w:autoSpaceDE/>
              <w:autoSpaceDN/>
              <w:bidi w:val="0"/>
              <w:ind w:left="0" w:leftChars="0"/>
              <w:jc w:val="left"/>
              <w:textAlignment w:val="auto"/>
              <w:rPr>
                <w:rFonts w:hint="eastAsia" w:ascii="宋体" w:hAnsi="宋体" w:cs="宋体"/>
                <w:kern w:val="0"/>
                <w:sz w:val="20"/>
                <w:szCs w:val="20"/>
                <w:highlight w:val="none"/>
              </w:rPr>
            </w:pPr>
          </w:p>
        </w:tc>
      </w:tr>
      <w:bookmarkEnd w:id="0"/>
    </w:tbl>
    <w:p>
      <w:pPr>
        <w:rPr>
          <w:rFonts w:hint="default"/>
          <w:lang w:val="en-US"/>
        </w:rPr>
      </w:pPr>
    </w:p>
    <w:p>
      <w:pPr>
        <w:rPr>
          <w:rFonts w:hint="eastAsia" w:asciiTheme="minorEastAsia" w:hAnsiTheme="minorEastAsia"/>
          <w:sz w:val="32"/>
          <w:szCs w:val="32"/>
        </w:rPr>
      </w:pPr>
      <w:r>
        <w:rPr>
          <w:rFonts w:hint="eastAsia" w:asciiTheme="minorEastAsia" w:hAnsiTheme="minorEastAsia"/>
          <w:sz w:val="32"/>
          <w:szCs w:val="32"/>
        </w:rPr>
        <w:t xml:space="preserve">联系人：        </w:t>
      </w:r>
    </w:p>
    <w:p>
      <w:pPr>
        <w:rPr>
          <w:rFonts w:hint="eastAsia" w:asciiTheme="minorEastAsia" w:hAnsiTheme="minorEastAsia"/>
          <w:sz w:val="32"/>
          <w:szCs w:val="32"/>
        </w:rPr>
      </w:pPr>
      <w:r>
        <w:rPr>
          <w:rFonts w:hint="eastAsia" w:asciiTheme="minorEastAsia" w:hAnsiTheme="minorEastAsia"/>
          <w:sz w:val="32"/>
          <w:szCs w:val="32"/>
        </w:rPr>
        <w:t xml:space="preserve">联系方式：      </w:t>
      </w:r>
    </w:p>
    <w:p>
      <w:pPr>
        <w:pStyle w:val="2"/>
      </w:pPr>
    </w:p>
    <w:p>
      <w:pPr>
        <w:wordWrap/>
        <w:jc w:val="right"/>
        <w:rPr>
          <w:rFonts w:asciiTheme="minorEastAsia" w:hAnsiTheme="minorEastAsia"/>
          <w:sz w:val="32"/>
          <w:szCs w:val="32"/>
        </w:rPr>
      </w:pPr>
      <w:r>
        <w:rPr>
          <w:rFonts w:hint="eastAsia" w:asciiTheme="minorEastAsia" w:hAnsiTheme="minorEastAsia"/>
          <w:sz w:val="32"/>
          <w:szCs w:val="32"/>
        </w:rPr>
        <w:t>202</w:t>
      </w:r>
      <w:r>
        <w:rPr>
          <w:rFonts w:hint="eastAsia" w:asciiTheme="minorEastAsia" w:hAnsiTheme="minorEastAsia"/>
          <w:sz w:val="32"/>
          <w:szCs w:val="32"/>
          <w:lang w:val="en-US" w:eastAsia="zh-CN"/>
        </w:rPr>
        <w:t>6</w:t>
      </w:r>
      <w:r>
        <w:rPr>
          <w:rFonts w:hint="eastAsia" w:asciiTheme="minorEastAsia" w:hAnsiTheme="minorEastAsia"/>
          <w:sz w:val="32"/>
          <w:szCs w:val="32"/>
        </w:rPr>
        <w:t>年</w:t>
      </w:r>
      <w:r>
        <w:rPr>
          <w:rFonts w:hint="eastAsia" w:asciiTheme="minorEastAsia" w:hAnsiTheme="minorEastAsia"/>
          <w:sz w:val="32"/>
          <w:szCs w:val="32"/>
          <w:lang w:val="en-US" w:eastAsia="zh-CN"/>
        </w:rPr>
        <w:t xml:space="preserve">  </w:t>
      </w:r>
      <w:r>
        <w:rPr>
          <w:rFonts w:hint="eastAsia" w:asciiTheme="minorEastAsia" w:hAnsiTheme="minorEastAsia"/>
          <w:sz w:val="32"/>
          <w:szCs w:val="32"/>
        </w:rPr>
        <w:t xml:space="preserve">月   日          </w:t>
      </w:r>
    </w:p>
    <w:p>
      <w:pPr>
        <w:wordWrap/>
        <w:jc w:val="right"/>
        <w:rPr>
          <w:rFonts w:asciiTheme="minorEastAsia" w:hAnsiTheme="minorEastAsia" w:eastAsiaTheme="minorEastAsia"/>
          <w:sz w:val="32"/>
          <w:szCs w:val="32"/>
        </w:rPr>
      </w:pPr>
      <w:r>
        <w:rPr>
          <w:rFonts w:hint="eastAsia" w:asciiTheme="minorEastAsia" w:hAnsiTheme="minorEastAsia"/>
          <w:sz w:val="32"/>
          <w:szCs w:val="32"/>
        </w:rPr>
        <w:t xml:space="preserve">公司（盖章）：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9716382"/>
      <w:docPartObj>
        <w:docPartGallery w:val="autotext"/>
      </w:docPartObj>
    </w:sdtPr>
    <w:sdtContent>
      <w:sdt>
        <w:sdtPr>
          <w:id w:val="-1669238322"/>
          <w:docPartObj>
            <w:docPartGallery w:val="autotext"/>
          </w:docPartObj>
        </w:sdtPr>
        <w:sdtContent>
          <w:p>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83A"/>
    <w:rsid w:val="0069783A"/>
    <w:rsid w:val="009E508A"/>
    <w:rsid w:val="00B778B4"/>
    <w:rsid w:val="00CF7B02"/>
    <w:rsid w:val="00E878F2"/>
    <w:rsid w:val="0677067C"/>
    <w:rsid w:val="08275ED3"/>
    <w:rsid w:val="08E361F2"/>
    <w:rsid w:val="0BC97388"/>
    <w:rsid w:val="104A309E"/>
    <w:rsid w:val="19FC63C3"/>
    <w:rsid w:val="355E52DE"/>
    <w:rsid w:val="39FA4994"/>
    <w:rsid w:val="4FE313C0"/>
    <w:rsid w:val="503645C7"/>
    <w:rsid w:val="508379F3"/>
    <w:rsid w:val="547944CC"/>
    <w:rsid w:val="69CE7569"/>
    <w:rsid w:val="6E8152F7"/>
    <w:rsid w:val="6F4C115C"/>
    <w:rsid w:val="6F5574D4"/>
    <w:rsid w:val="6FAB1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index 4"/>
    <w:basedOn w:val="1"/>
    <w:next w:val="1"/>
    <w:uiPriority w:val="0"/>
    <w:pPr>
      <w:spacing w:after="312" w:afterLines="100"/>
      <w:ind w:left="600" w:leftChars="600"/>
      <w:jc w:val="left"/>
    </w:pPr>
  </w:style>
  <w:style w:type="paragraph" w:styleId="4">
    <w:name w:val="Normal Indent"/>
    <w:basedOn w:val="1"/>
    <w:qFormat/>
    <w:uiPriority w:val="0"/>
    <w:pPr>
      <w:widowControl/>
      <w:ind w:firstLine="420"/>
      <w:jc w:val="left"/>
    </w:pPr>
    <w:rPr>
      <w:rFonts w:eastAsia="Times New Roman"/>
      <w:kern w:val="0"/>
      <w:sz w:val="20"/>
      <w:szCs w:val="21"/>
    </w:rPr>
  </w:style>
  <w:style w:type="paragraph" w:styleId="5">
    <w:name w:val="footer"/>
    <w:basedOn w:val="1"/>
    <w:link w:val="10"/>
    <w:qFormat/>
    <w:uiPriority w:val="99"/>
    <w:pPr>
      <w:tabs>
        <w:tab w:val="center" w:pos="4153"/>
        <w:tab w:val="right" w:pos="8306"/>
      </w:tabs>
      <w:snapToGrid w:val="0"/>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0"/>
    <w:rPr>
      <w:kern w:val="2"/>
      <w:sz w:val="18"/>
      <w:szCs w:val="18"/>
    </w:rPr>
  </w:style>
  <w:style w:type="character" w:customStyle="1" w:styleId="10">
    <w:name w:val="页脚 Char"/>
    <w:basedOn w:val="8"/>
    <w:link w:val="5"/>
    <w:qFormat/>
    <w:uiPriority w:val="99"/>
    <w:rPr>
      <w:kern w:val="2"/>
      <w:sz w:val="18"/>
      <w:szCs w:val="18"/>
    </w:rPr>
  </w:style>
  <w:style w:type="paragraph" w:customStyle="1" w:styleId="1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1883</Words>
  <Characters>834</Characters>
  <Lines>6</Lines>
  <Paragraphs>5</Paragraphs>
  <TotalTime>3</TotalTime>
  <ScaleCrop>false</ScaleCrop>
  <LinksUpToDate>false</LinksUpToDate>
  <CharactersWithSpaces>2712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2025-07-14T13:47:00Z</dcterms:created>
  <dc:creator>Administrator</dc:creator>
  <cp:lastModifiedBy>陈佳娟</cp:lastModifiedBy>
  <dcterms:modified xsi:type="dcterms:W3CDTF">2026-08-26T03:40:58Z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DocerSaveRecord">
    <vt:lpwstr>eyJoZGlkIjoiYTRhNDZkN2VkODNhNGViNmU5YmM3MDU4NDJiZDQ1ZWIiLCJ1c2VySWQiOiIzNDcxMzcxOTgifQ==</vt:lpwstr>
  </property>
  <property fmtid="{D5CDD505-2E9C-101B-9397-08002B2CF9AE}" pid="4" name="ICV">
    <vt:lpwstr>35ADC602CB06449E82DFBDA1CE815404_12</vt:lpwstr>
  </property>
</Properties>
</file>